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5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3.xml" ContentType="application/vnd.openxmlformats-officedocument.wordprocessingml.header+xml"/>
  <Override PartName="/word/footer56.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7.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57.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6.xml" ContentType="application/vnd.openxmlformats-officedocument.wordprocessingml.header+xml"/>
  <Override PartName="/word/footer42.xml" ContentType="application/vnd.openxmlformats-officedocument.wordprocessingml.footer+xml"/>
  <Override PartName="/word/header17.xml" ContentType="application/vnd.openxmlformats-officedocument.wordprocessingml.header+xml"/>
  <Override PartName="/word/footer43.xml" ContentType="application/vnd.openxmlformats-officedocument.wordprocessingml.footer+xml"/>
  <Override PartName="/word/header18.xml" ContentType="application/vnd.openxmlformats-officedocument.wordprocessingml.header+xml"/>
  <Override PartName="/word/footer44.xml" ContentType="application/vnd.openxmlformats-officedocument.wordprocessingml.footer+xml"/>
  <Override PartName="/word/header1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582CD" w14:textId="6DB5EFD2" w:rsidR="00091A11" w:rsidRPr="00174968" w:rsidRDefault="001E2D51" w:rsidP="00091A11">
      <w:pPr>
        <w:rPr>
          <w:noProof/>
        </w:rPr>
        <w:sectPr w:rsidR="00091A11" w:rsidRPr="00174968" w:rsidSect="00FC0B89">
          <w:headerReference w:type="default" r:id="rId8"/>
          <w:footerReference w:type="default" r:id="rId9"/>
          <w:headerReference w:type="first" r:id="rId10"/>
          <w:footnotePr>
            <w:numRestart w:val="eachPage"/>
          </w:footnotePr>
          <w:pgSz w:w="12240" w:h="15840" w:code="1"/>
          <w:pgMar w:top="0" w:right="0" w:bottom="0" w:left="0" w:header="0" w:footer="0" w:gutter="0"/>
          <w:cols w:space="708"/>
          <w:docGrid w:linePitch="360"/>
        </w:sectPr>
      </w:pPr>
      <w:r>
        <w:rPr>
          <w:noProof/>
        </w:rPr>
        <mc:AlternateContent>
          <mc:Choice Requires="wps">
            <w:drawing>
              <wp:inline distT="0" distB="0" distL="0" distR="0" wp14:anchorId="0F86A064" wp14:editId="0C45D2D5">
                <wp:extent cx="7772400" cy="5448300"/>
                <wp:effectExtent l="9525" t="9525" r="9525" b="9525"/>
                <wp:docPr id="5" name="Text Box 2" descr="front cover layou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448300"/>
                        </a:xfrm>
                        <a:prstGeom prst="rect">
                          <a:avLst/>
                        </a:prstGeom>
                        <a:solidFill>
                          <a:schemeClr val="tx1">
                            <a:lumMod val="100000"/>
                            <a:lumOff val="0"/>
                          </a:schemeClr>
                        </a:solidFill>
                        <a:ln w="9525">
                          <a:solidFill>
                            <a:schemeClr val="tx1">
                              <a:lumMod val="100000"/>
                              <a:lumOff val="0"/>
                            </a:schemeClr>
                          </a:solidFill>
                          <a:miter lim="800000"/>
                          <a:headEnd/>
                          <a:tailEnd/>
                        </a:ln>
                      </wps:spPr>
                      <wps:txbx>
                        <w:txbxContent>
                          <w:p w14:paraId="4AF7C5E4" w14:textId="77777777" w:rsidR="00D931C2" w:rsidRPr="00567764" w:rsidRDefault="00D931C2" w:rsidP="00567764">
                            <w:pPr>
                              <w:pStyle w:val="BodyText125"/>
                              <w:spacing w:before="600"/>
                              <w:ind w:right="1140"/>
                              <w:jc w:val="right"/>
                              <w:rPr>
                                <w:color w:val="FFFFFF" w:themeColor="background1"/>
                              </w:rPr>
                            </w:pPr>
                            <w:r w:rsidRPr="00567764">
                              <w:rPr>
                                <w:noProof/>
                                <w:color w:val="FFFFFF" w:themeColor="background1"/>
                              </w:rPr>
                              <w:drawing>
                                <wp:inline distT="0" distB="0" distL="0" distR="0" wp14:anchorId="3BAE3CCA" wp14:editId="265EF544">
                                  <wp:extent cx="2012892" cy="2011680"/>
                                  <wp:effectExtent l="0" t="0" r="6985" b="7620"/>
                                  <wp:docPr id="686" name="Picture 686" descr="Wats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son_Logo_Lockup_CMYK.jpg"/>
                                          <pic:cNvPicPr/>
                                        </pic:nvPicPr>
                                        <pic:blipFill>
                                          <a:blip r:embed="rId11"/>
                                          <a:stretch>
                                            <a:fillRect/>
                                          </a:stretch>
                                        </pic:blipFill>
                                        <pic:spPr>
                                          <a:xfrm>
                                            <a:off x="0" y="0"/>
                                            <a:ext cx="2012892" cy="2011680"/>
                                          </a:xfrm>
                                          <a:prstGeom prst="rect">
                                            <a:avLst/>
                                          </a:prstGeom>
                                        </pic:spPr>
                                      </pic:pic>
                                    </a:graphicData>
                                  </a:graphic>
                                </wp:inline>
                              </w:drawing>
                            </w:r>
                          </w:p>
                          <w:p w14:paraId="1E6F9FA3" w14:textId="77777777" w:rsidR="00D931C2" w:rsidRPr="00567764" w:rsidRDefault="00D931C2" w:rsidP="00D74452">
                            <w:pPr>
                              <w:pStyle w:val="BodyText125"/>
                              <w:spacing w:before="960" w:after="0"/>
                              <w:ind w:left="1080" w:right="1483"/>
                              <w:rPr>
                                <w:b/>
                                <w:color w:val="FFFFFF" w:themeColor="background1"/>
                                <w:sz w:val="48"/>
                                <w:szCs w:val="48"/>
                              </w:rPr>
                            </w:pPr>
                            <w:r>
                              <w:rPr>
                                <w:b/>
                                <w:color w:val="FFFFFF" w:themeColor="background1"/>
                                <w:sz w:val="48"/>
                                <w:szCs w:val="48"/>
                              </w:rPr>
                              <w:t>Development Charges Background Study</w:t>
                            </w:r>
                          </w:p>
                          <w:p w14:paraId="3B4BE198" w14:textId="5290D391" w:rsidR="00D931C2" w:rsidRPr="00317A62" w:rsidRDefault="00D931C2" w:rsidP="00317A62">
                            <w:pPr>
                              <w:pStyle w:val="BodyText125"/>
                              <w:spacing w:before="80" w:after="0" w:line="288" w:lineRule="auto"/>
                              <w:ind w:left="1080" w:right="1486"/>
                              <w:rPr>
                                <w:color w:val="FFFFFF" w:themeColor="background1"/>
                                <w:sz w:val="40"/>
                                <w:szCs w:val="40"/>
                              </w:rPr>
                            </w:pPr>
                            <w:r w:rsidRPr="00A1355F">
                              <w:rPr>
                                <w:color w:val="FFFFFF" w:themeColor="background1"/>
                                <w:sz w:val="40"/>
                                <w:szCs w:val="40"/>
                              </w:rPr>
                              <w:t>City</w:t>
                            </w:r>
                            <w:r>
                              <w:rPr>
                                <w:color w:val="FFFFFF" w:themeColor="background1"/>
                                <w:sz w:val="40"/>
                                <w:szCs w:val="40"/>
                              </w:rPr>
                              <w:t xml:space="preserve"> of Cambridge</w:t>
                            </w:r>
                          </w:p>
                        </w:txbxContent>
                      </wps:txbx>
                      <wps:bodyPr rot="0" vert="horz" wrap="square" lIns="91440" tIns="45720" rIns="91440" bIns="45720" anchor="t" anchorCtr="0" upright="1">
                        <a:noAutofit/>
                      </wps:bodyPr>
                    </wps:wsp>
                  </a:graphicData>
                </a:graphic>
              </wp:inline>
            </w:drawing>
          </mc:Choice>
          <mc:Fallback>
            <w:pict>
              <v:shapetype w14:anchorId="0F86A064" id="_x0000_t202" coordsize="21600,21600" o:spt="202" path="m,l,21600r21600,l21600,xe">
                <v:stroke joinstyle="miter"/>
                <v:path gradientshapeok="t" o:connecttype="rect"/>
              </v:shapetype>
              <v:shape id="Text Box 2" o:spid="_x0000_s1026" type="#_x0000_t202" alt="front cover layout" style="width:612pt;height: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" fillcolor="#425364 [3213]" strokecolor="#425364 [3213]">
                <v:textbox>
                  <w:txbxContent>
                    <w:p w14:paraId="4AF7C5E4" w14:textId="77777777" w:rsidR="00D931C2" w:rsidRPr="00567764" w:rsidRDefault="00D931C2" w:rsidP="00567764">
                      <w:pPr>
                        <w:pStyle w:val="BodyText125"/>
                        <w:spacing w:before="600"/>
                        <w:ind w:right="1140"/>
                        <w:jc w:val="right"/>
                        <w:rPr>
                          <w:color w:val="FFFFFF" w:themeColor="background1"/>
                        </w:rPr>
                      </w:pPr>
                      <w:r w:rsidRPr="00567764">
                        <w:rPr>
                          <w:noProof/>
                          <w:color w:val="FFFFFF" w:themeColor="background1"/>
                        </w:rPr>
                        <w:drawing>
                          <wp:inline distT="0" distB="0" distL="0" distR="0" wp14:anchorId="3BAE3CCA" wp14:editId="265EF544">
                            <wp:extent cx="2012892" cy="2011680"/>
                            <wp:effectExtent l="0" t="0" r="6985" b="7620"/>
                            <wp:docPr id="686" name="Picture 686" descr="Wats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son_Logo_Lockup_CMYK.jpg"/>
                                    <pic:cNvPicPr/>
                                  </pic:nvPicPr>
                                  <pic:blipFill>
                                    <a:blip r:embed="rId11"/>
                                    <a:stretch>
                                      <a:fillRect/>
                                    </a:stretch>
                                  </pic:blipFill>
                                  <pic:spPr>
                                    <a:xfrm>
                                      <a:off x="0" y="0"/>
                                      <a:ext cx="2012892" cy="2011680"/>
                                    </a:xfrm>
                                    <a:prstGeom prst="rect">
                                      <a:avLst/>
                                    </a:prstGeom>
                                  </pic:spPr>
                                </pic:pic>
                              </a:graphicData>
                            </a:graphic>
                          </wp:inline>
                        </w:drawing>
                      </w:r>
                    </w:p>
                    <w:p w14:paraId="1E6F9FA3" w14:textId="77777777" w:rsidR="00D931C2" w:rsidRPr="00567764" w:rsidRDefault="00D931C2" w:rsidP="00D74452">
                      <w:pPr>
                        <w:pStyle w:val="BodyText125"/>
                        <w:spacing w:before="960" w:after="0"/>
                        <w:ind w:left="1080" w:right="1483"/>
                        <w:rPr>
                          <w:b/>
                          <w:color w:val="FFFFFF" w:themeColor="background1"/>
                          <w:sz w:val="48"/>
                          <w:szCs w:val="48"/>
                        </w:rPr>
                      </w:pPr>
                      <w:r>
                        <w:rPr>
                          <w:b/>
                          <w:color w:val="FFFFFF" w:themeColor="background1"/>
                          <w:sz w:val="48"/>
                          <w:szCs w:val="48"/>
                        </w:rPr>
                        <w:t>Development Charges Background Study</w:t>
                      </w:r>
                    </w:p>
                    <w:p w14:paraId="3B4BE198" w14:textId="5290D391" w:rsidR="00D931C2" w:rsidRPr="00317A62" w:rsidRDefault="00D931C2" w:rsidP="00317A62">
                      <w:pPr>
                        <w:pStyle w:val="BodyText125"/>
                        <w:spacing w:before="80" w:after="0" w:line="288" w:lineRule="auto"/>
                        <w:ind w:left="1080" w:right="1486"/>
                        <w:rPr>
                          <w:color w:val="FFFFFF" w:themeColor="background1"/>
                          <w:sz w:val="40"/>
                          <w:szCs w:val="40"/>
                        </w:rPr>
                      </w:pPr>
                      <w:r w:rsidRPr="00A1355F">
                        <w:rPr>
                          <w:color w:val="FFFFFF" w:themeColor="background1"/>
                          <w:sz w:val="40"/>
                          <w:szCs w:val="40"/>
                        </w:rPr>
                        <w:t>City</w:t>
                      </w:r>
                      <w:r>
                        <w:rPr>
                          <w:color w:val="FFFFFF" w:themeColor="background1"/>
                          <w:sz w:val="40"/>
                          <w:szCs w:val="40"/>
                        </w:rPr>
                        <w:t xml:space="preserve"> of Cambridge</w:t>
                      </w:r>
                    </w:p>
                  </w:txbxContent>
                </v:textbox>
                <w10:anchorlock/>
              </v:shape>
            </w:pict>
          </mc:Fallback>
        </mc:AlternateContent>
      </w:r>
    </w:p>
    <w:p w14:paraId="3317D587" w14:textId="77777777" w:rsidR="006B5C96" w:rsidRPr="00174968" w:rsidRDefault="002164A1" w:rsidP="000351B9">
      <w:pPr>
        <w:pStyle w:val="TOCHeading"/>
        <w:spacing w:before="0"/>
        <w:rPr>
          <w:noProof/>
        </w:rPr>
      </w:pPr>
      <w:r w:rsidRPr="00174968">
        <w:rPr>
          <w:noProof/>
        </w:rPr>
        <w:lastRenderedPageBreak/>
        <w:t>Table of Contents</w:t>
      </w:r>
    </w:p>
    <w:p w14:paraId="34677AD4" w14:textId="77777777" w:rsidR="003C6044" w:rsidRPr="004A167A" w:rsidRDefault="003C6044" w:rsidP="003C6044">
      <w:pPr>
        <w:jc w:val="right"/>
      </w:pPr>
      <w:r w:rsidRPr="004A167A">
        <w:t>Page</w:t>
      </w:r>
    </w:p>
    <w:p w14:paraId="58F20423" w14:textId="1E9536E1" w:rsidR="007A4683" w:rsidRDefault="00993DB2">
      <w:pPr>
        <w:pStyle w:val="TOC1"/>
        <w:rPr>
          <w:rFonts w:eastAsiaTheme="minorEastAsia" w:cstheme="minorBidi"/>
          <w:b w:val="0"/>
          <w:bCs w:val="0"/>
          <w:noProof/>
          <w:color w:val="auto"/>
          <w:kern w:val="2"/>
          <w:sz w:val="22"/>
          <w:szCs w:val="22"/>
          <w:lang w:eastAsia="en-CA"/>
          <w14:ligatures w14:val="standardContextual"/>
        </w:rPr>
      </w:pPr>
      <w:r>
        <w:rPr>
          <w:bCs w:val="0"/>
        </w:rPr>
        <w:fldChar w:fldCharType="begin"/>
      </w:r>
      <w:r>
        <w:rPr>
          <w:bCs w:val="0"/>
        </w:rPr>
        <w:instrText xml:space="preserve"> TOC \o "1-3" \h \z \u </w:instrText>
      </w:r>
      <w:r>
        <w:rPr>
          <w:bCs w:val="0"/>
        </w:rPr>
        <w:fldChar w:fldCharType="separate"/>
      </w:r>
      <w:hyperlink w:anchor="_Toc154068723" w:history="1">
        <w:r w:rsidR="007A4683" w:rsidRPr="00393B4F">
          <w:rPr>
            <w:rStyle w:val="Hyperlink"/>
            <w:noProof/>
          </w:rPr>
          <w:t>Executive Summary</w:t>
        </w:r>
        <w:r w:rsidR="007A4683">
          <w:rPr>
            <w:noProof/>
            <w:webHidden/>
          </w:rPr>
          <w:tab/>
        </w:r>
        <w:r w:rsidR="007A4683">
          <w:rPr>
            <w:noProof/>
            <w:webHidden/>
          </w:rPr>
          <w:fldChar w:fldCharType="begin"/>
        </w:r>
        <w:r w:rsidR="007A4683">
          <w:rPr>
            <w:noProof/>
            <w:webHidden/>
          </w:rPr>
          <w:instrText xml:space="preserve"> PAGEREF _Toc154068723 \h </w:instrText>
        </w:r>
        <w:r w:rsidR="007A4683">
          <w:rPr>
            <w:noProof/>
            <w:webHidden/>
          </w:rPr>
        </w:r>
        <w:r w:rsidR="007A4683">
          <w:rPr>
            <w:noProof/>
            <w:webHidden/>
          </w:rPr>
          <w:fldChar w:fldCharType="separate"/>
        </w:r>
        <w:r w:rsidR="00504826">
          <w:rPr>
            <w:noProof/>
            <w:webHidden/>
          </w:rPr>
          <w:t>i</w:t>
        </w:r>
        <w:r w:rsidR="007A4683">
          <w:rPr>
            <w:noProof/>
            <w:webHidden/>
          </w:rPr>
          <w:fldChar w:fldCharType="end"/>
        </w:r>
      </w:hyperlink>
    </w:p>
    <w:p w14:paraId="5795898E" w14:textId="35C71641" w:rsidR="007A4683" w:rsidRDefault="007A4683">
      <w:pPr>
        <w:pStyle w:val="TOC1"/>
        <w:rPr>
          <w:rFonts w:eastAsiaTheme="minorEastAsia" w:cstheme="minorBidi"/>
          <w:b w:val="0"/>
          <w:bCs w:val="0"/>
          <w:noProof/>
          <w:color w:val="auto"/>
          <w:kern w:val="2"/>
          <w:sz w:val="22"/>
          <w:szCs w:val="22"/>
          <w:lang w:eastAsia="en-CA"/>
          <w14:ligatures w14:val="standardContextual"/>
        </w:rPr>
      </w:pPr>
      <w:hyperlink w:anchor="_Toc154068724" w:history="1">
        <w:r w:rsidRPr="00393B4F">
          <w:rPr>
            <w:rStyle w:val="Hyperlink"/>
            <w:noProof/>
          </w:rPr>
          <w:t>1.</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Introduction</w:t>
        </w:r>
        <w:r>
          <w:rPr>
            <w:noProof/>
            <w:webHidden/>
          </w:rPr>
          <w:tab/>
        </w:r>
        <w:r>
          <w:rPr>
            <w:noProof/>
            <w:webHidden/>
          </w:rPr>
          <w:fldChar w:fldCharType="begin"/>
        </w:r>
        <w:r>
          <w:rPr>
            <w:noProof/>
            <w:webHidden/>
          </w:rPr>
          <w:instrText xml:space="preserve"> PAGEREF _Toc154068724 \h </w:instrText>
        </w:r>
        <w:r>
          <w:rPr>
            <w:noProof/>
            <w:webHidden/>
          </w:rPr>
        </w:r>
        <w:r>
          <w:rPr>
            <w:noProof/>
            <w:webHidden/>
          </w:rPr>
          <w:fldChar w:fldCharType="separate"/>
        </w:r>
        <w:r w:rsidR="00504826">
          <w:rPr>
            <w:noProof/>
            <w:webHidden/>
          </w:rPr>
          <w:t>1-1</w:t>
        </w:r>
        <w:r>
          <w:rPr>
            <w:noProof/>
            <w:webHidden/>
          </w:rPr>
          <w:fldChar w:fldCharType="end"/>
        </w:r>
      </w:hyperlink>
    </w:p>
    <w:p w14:paraId="1ECAFA6F" w14:textId="69F26454"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25" w:history="1">
        <w:r w:rsidRPr="00393B4F">
          <w:rPr>
            <w:rStyle w:val="Hyperlink"/>
            <w:noProof/>
          </w:rPr>
          <w:t>1.1</w:t>
        </w:r>
        <w:r>
          <w:rPr>
            <w:rFonts w:eastAsiaTheme="minorEastAsia" w:cstheme="minorBidi"/>
            <w:iCs w:val="0"/>
            <w:noProof/>
            <w:color w:val="auto"/>
            <w:kern w:val="2"/>
            <w:sz w:val="22"/>
            <w:szCs w:val="22"/>
            <w:lang w:eastAsia="en-CA"/>
            <w14:ligatures w14:val="standardContextual"/>
          </w:rPr>
          <w:tab/>
        </w:r>
        <w:r w:rsidRPr="00393B4F">
          <w:rPr>
            <w:rStyle w:val="Hyperlink"/>
            <w:noProof/>
          </w:rPr>
          <w:t>Purpose of this Document</w:t>
        </w:r>
        <w:r>
          <w:rPr>
            <w:noProof/>
            <w:webHidden/>
          </w:rPr>
          <w:tab/>
        </w:r>
        <w:r>
          <w:rPr>
            <w:noProof/>
            <w:webHidden/>
          </w:rPr>
          <w:fldChar w:fldCharType="begin"/>
        </w:r>
        <w:r>
          <w:rPr>
            <w:noProof/>
            <w:webHidden/>
          </w:rPr>
          <w:instrText xml:space="preserve"> PAGEREF _Toc154068725 \h </w:instrText>
        </w:r>
        <w:r>
          <w:rPr>
            <w:noProof/>
            <w:webHidden/>
          </w:rPr>
        </w:r>
        <w:r>
          <w:rPr>
            <w:noProof/>
            <w:webHidden/>
          </w:rPr>
          <w:fldChar w:fldCharType="separate"/>
        </w:r>
        <w:r w:rsidR="00504826">
          <w:rPr>
            <w:noProof/>
            <w:webHidden/>
          </w:rPr>
          <w:t>1-1</w:t>
        </w:r>
        <w:r>
          <w:rPr>
            <w:noProof/>
            <w:webHidden/>
          </w:rPr>
          <w:fldChar w:fldCharType="end"/>
        </w:r>
      </w:hyperlink>
    </w:p>
    <w:p w14:paraId="6BF632BD" w14:textId="7E2A2E88"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26" w:history="1">
        <w:r w:rsidRPr="00393B4F">
          <w:rPr>
            <w:rStyle w:val="Hyperlink"/>
            <w:noProof/>
          </w:rPr>
          <w:t>1.2</w:t>
        </w:r>
        <w:r>
          <w:rPr>
            <w:rFonts w:eastAsiaTheme="minorEastAsia" w:cstheme="minorBidi"/>
            <w:iCs w:val="0"/>
            <w:noProof/>
            <w:color w:val="auto"/>
            <w:kern w:val="2"/>
            <w:sz w:val="22"/>
            <w:szCs w:val="22"/>
            <w:lang w:eastAsia="en-CA"/>
            <w14:ligatures w14:val="standardContextual"/>
          </w:rPr>
          <w:tab/>
        </w:r>
        <w:r w:rsidRPr="00393B4F">
          <w:rPr>
            <w:rStyle w:val="Hyperlink"/>
            <w:noProof/>
          </w:rPr>
          <w:t>Summary of the Process</w:t>
        </w:r>
        <w:r>
          <w:rPr>
            <w:noProof/>
            <w:webHidden/>
          </w:rPr>
          <w:tab/>
        </w:r>
        <w:r>
          <w:rPr>
            <w:noProof/>
            <w:webHidden/>
          </w:rPr>
          <w:fldChar w:fldCharType="begin"/>
        </w:r>
        <w:r>
          <w:rPr>
            <w:noProof/>
            <w:webHidden/>
          </w:rPr>
          <w:instrText xml:space="preserve"> PAGEREF _Toc154068726 \h </w:instrText>
        </w:r>
        <w:r>
          <w:rPr>
            <w:noProof/>
            <w:webHidden/>
          </w:rPr>
        </w:r>
        <w:r>
          <w:rPr>
            <w:noProof/>
            <w:webHidden/>
          </w:rPr>
          <w:fldChar w:fldCharType="separate"/>
        </w:r>
        <w:r w:rsidR="00504826">
          <w:rPr>
            <w:noProof/>
            <w:webHidden/>
          </w:rPr>
          <w:t>1-2</w:t>
        </w:r>
        <w:r>
          <w:rPr>
            <w:noProof/>
            <w:webHidden/>
          </w:rPr>
          <w:fldChar w:fldCharType="end"/>
        </w:r>
      </w:hyperlink>
    </w:p>
    <w:p w14:paraId="5F056243" w14:textId="6DB924B2"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27" w:history="1">
        <w:r w:rsidRPr="00393B4F">
          <w:rPr>
            <w:rStyle w:val="Hyperlink"/>
            <w:noProof/>
          </w:rPr>
          <w:t>1.3</w:t>
        </w:r>
        <w:r>
          <w:rPr>
            <w:rFonts w:eastAsiaTheme="minorEastAsia" w:cstheme="minorBidi"/>
            <w:iCs w:val="0"/>
            <w:noProof/>
            <w:color w:val="auto"/>
            <w:kern w:val="2"/>
            <w:sz w:val="22"/>
            <w:szCs w:val="22"/>
            <w:lang w:eastAsia="en-CA"/>
            <w14:ligatures w14:val="standardContextual"/>
          </w:rPr>
          <w:tab/>
        </w:r>
        <w:r w:rsidRPr="00393B4F">
          <w:rPr>
            <w:rStyle w:val="Hyperlink"/>
            <w:noProof/>
          </w:rPr>
          <w:t>Changes to the D.C.A.:  Bills 108, 138, 197, 213, and 109</w:t>
        </w:r>
        <w:r>
          <w:rPr>
            <w:noProof/>
            <w:webHidden/>
          </w:rPr>
          <w:tab/>
        </w:r>
        <w:r>
          <w:rPr>
            <w:noProof/>
            <w:webHidden/>
          </w:rPr>
          <w:fldChar w:fldCharType="begin"/>
        </w:r>
        <w:r>
          <w:rPr>
            <w:noProof/>
            <w:webHidden/>
          </w:rPr>
          <w:instrText xml:space="preserve"> PAGEREF _Toc154068727 \h </w:instrText>
        </w:r>
        <w:r>
          <w:rPr>
            <w:noProof/>
            <w:webHidden/>
          </w:rPr>
        </w:r>
        <w:r>
          <w:rPr>
            <w:noProof/>
            <w:webHidden/>
          </w:rPr>
          <w:fldChar w:fldCharType="separate"/>
        </w:r>
        <w:r w:rsidR="00504826">
          <w:rPr>
            <w:noProof/>
            <w:webHidden/>
          </w:rPr>
          <w:t>1-3</w:t>
        </w:r>
        <w:r>
          <w:rPr>
            <w:noProof/>
            <w:webHidden/>
          </w:rPr>
          <w:fldChar w:fldCharType="end"/>
        </w:r>
      </w:hyperlink>
    </w:p>
    <w:p w14:paraId="6C9789DE" w14:textId="0B399731" w:rsidR="007A4683" w:rsidRDefault="007A4683">
      <w:pPr>
        <w:pStyle w:val="TOC3"/>
        <w:rPr>
          <w:rFonts w:eastAsiaTheme="minorEastAsia" w:cstheme="minorBidi"/>
          <w:noProof/>
          <w:color w:val="auto"/>
          <w:kern w:val="2"/>
          <w:sz w:val="22"/>
          <w:szCs w:val="22"/>
          <w:lang w:eastAsia="en-CA"/>
          <w14:ligatures w14:val="standardContextual"/>
        </w:rPr>
      </w:pPr>
      <w:hyperlink w:anchor="_Toc154068728" w:history="1">
        <w:r w:rsidRPr="00393B4F">
          <w:rPr>
            <w:rStyle w:val="Hyperlink"/>
            <w:noProof/>
          </w:rPr>
          <w:t>1.3.1</w:t>
        </w:r>
        <w:r>
          <w:rPr>
            <w:rFonts w:eastAsiaTheme="minorEastAsia" w:cstheme="minorBidi"/>
            <w:noProof/>
            <w:color w:val="auto"/>
            <w:kern w:val="2"/>
            <w:sz w:val="22"/>
            <w:szCs w:val="22"/>
            <w:lang w:eastAsia="en-CA"/>
            <w14:ligatures w14:val="standardContextual"/>
          </w:rPr>
          <w:tab/>
        </w:r>
        <w:r w:rsidRPr="00393B4F">
          <w:rPr>
            <w:rStyle w:val="Hyperlink"/>
            <w:noProof/>
          </w:rPr>
          <w:t>Bill 108: More Homes, More Choice Act – An Act to Amend Various Statutes with Respect to Housing, Other Development, and Various Matters</w:t>
        </w:r>
        <w:r>
          <w:rPr>
            <w:noProof/>
            <w:webHidden/>
          </w:rPr>
          <w:tab/>
        </w:r>
        <w:r>
          <w:rPr>
            <w:noProof/>
            <w:webHidden/>
          </w:rPr>
          <w:fldChar w:fldCharType="begin"/>
        </w:r>
        <w:r>
          <w:rPr>
            <w:noProof/>
            <w:webHidden/>
          </w:rPr>
          <w:instrText xml:space="preserve"> PAGEREF _Toc154068728 \h </w:instrText>
        </w:r>
        <w:r>
          <w:rPr>
            <w:noProof/>
            <w:webHidden/>
          </w:rPr>
        </w:r>
        <w:r>
          <w:rPr>
            <w:noProof/>
            <w:webHidden/>
          </w:rPr>
          <w:fldChar w:fldCharType="separate"/>
        </w:r>
        <w:r w:rsidR="00504826">
          <w:rPr>
            <w:noProof/>
            <w:webHidden/>
          </w:rPr>
          <w:t>1-3</w:t>
        </w:r>
        <w:r>
          <w:rPr>
            <w:noProof/>
            <w:webHidden/>
          </w:rPr>
          <w:fldChar w:fldCharType="end"/>
        </w:r>
      </w:hyperlink>
    </w:p>
    <w:p w14:paraId="0C90E836" w14:textId="6BC1E049" w:rsidR="007A4683" w:rsidRDefault="007A4683">
      <w:pPr>
        <w:pStyle w:val="TOC3"/>
        <w:rPr>
          <w:rFonts w:eastAsiaTheme="minorEastAsia" w:cstheme="minorBidi"/>
          <w:noProof/>
          <w:color w:val="auto"/>
          <w:kern w:val="2"/>
          <w:sz w:val="22"/>
          <w:szCs w:val="22"/>
          <w:lang w:eastAsia="en-CA"/>
          <w14:ligatures w14:val="standardContextual"/>
        </w:rPr>
      </w:pPr>
      <w:hyperlink w:anchor="_Toc154068729" w:history="1">
        <w:r w:rsidRPr="00393B4F">
          <w:rPr>
            <w:rStyle w:val="Hyperlink"/>
            <w:noProof/>
          </w:rPr>
          <w:t>1.3.2</w:t>
        </w:r>
        <w:r>
          <w:rPr>
            <w:rFonts w:eastAsiaTheme="minorEastAsia" w:cstheme="minorBidi"/>
            <w:noProof/>
            <w:color w:val="auto"/>
            <w:kern w:val="2"/>
            <w:sz w:val="22"/>
            <w:szCs w:val="22"/>
            <w:lang w:eastAsia="en-CA"/>
            <w14:ligatures w14:val="standardContextual"/>
          </w:rPr>
          <w:tab/>
        </w:r>
        <w:r w:rsidRPr="00393B4F">
          <w:rPr>
            <w:rStyle w:val="Hyperlink"/>
            <w:noProof/>
          </w:rPr>
          <w:t>Bill 138: Plan to Build Ontario Together Act, 2019</w:t>
        </w:r>
        <w:r>
          <w:rPr>
            <w:noProof/>
            <w:webHidden/>
          </w:rPr>
          <w:tab/>
        </w:r>
        <w:r>
          <w:rPr>
            <w:noProof/>
            <w:webHidden/>
          </w:rPr>
          <w:fldChar w:fldCharType="begin"/>
        </w:r>
        <w:r>
          <w:rPr>
            <w:noProof/>
            <w:webHidden/>
          </w:rPr>
          <w:instrText xml:space="preserve"> PAGEREF _Toc154068729 \h </w:instrText>
        </w:r>
        <w:r>
          <w:rPr>
            <w:noProof/>
            <w:webHidden/>
          </w:rPr>
        </w:r>
        <w:r>
          <w:rPr>
            <w:noProof/>
            <w:webHidden/>
          </w:rPr>
          <w:fldChar w:fldCharType="separate"/>
        </w:r>
        <w:r w:rsidR="00504826">
          <w:rPr>
            <w:noProof/>
            <w:webHidden/>
          </w:rPr>
          <w:t>1-4</w:t>
        </w:r>
        <w:r>
          <w:rPr>
            <w:noProof/>
            <w:webHidden/>
          </w:rPr>
          <w:fldChar w:fldCharType="end"/>
        </w:r>
      </w:hyperlink>
    </w:p>
    <w:p w14:paraId="2E291C16" w14:textId="5CC06A36" w:rsidR="007A4683" w:rsidRDefault="007A4683">
      <w:pPr>
        <w:pStyle w:val="TOC3"/>
        <w:rPr>
          <w:rFonts w:eastAsiaTheme="minorEastAsia" w:cstheme="minorBidi"/>
          <w:noProof/>
          <w:color w:val="auto"/>
          <w:kern w:val="2"/>
          <w:sz w:val="22"/>
          <w:szCs w:val="22"/>
          <w:lang w:eastAsia="en-CA"/>
          <w14:ligatures w14:val="standardContextual"/>
        </w:rPr>
      </w:pPr>
      <w:hyperlink w:anchor="_Toc154068730" w:history="1">
        <w:r w:rsidRPr="00393B4F">
          <w:rPr>
            <w:rStyle w:val="Hyperlink"/>
            <w:noProof/>
          </w:rPr>
          <w:t>1.3.3</w:t>
        </w:r>
        <w:r>
          <w:rPr>
            <w:rFonts w:eastAsiaTheme="minorEastAsia" w:cstheme="minorBidi"/>
            <w:noProof/>
            <w:color w:val="auto"/>
            <w:kern w:val="2"/>
            <w:sz w:val="22"/>
            <w:szCs w:val="22"/>
            <w:lang w:eastAsia="en-CA"/>
            <w14:ligatures w14:val="standardContextual"/>
          </w:rPr>
          <w:tab/>
        </w:r>
        <w:r w:rsidRPr="00393B4F">
          <w:rPr>
            <w:rStyle w:val="Hyperlink"/>
            <w:noProof/>
          </w:rPr>
          <w:t>Bill 197: COVID-19 Economic Recovery Act, 2020</w:t>
        </w:r>
        <w:r>
          <w:rPr>
            <w:noProof/>
            <w:webHidden/>
          </w:rPr>
          <w:tab/>
        </w:r>
        <w:r>
          <w:rPr>
            <w:noProof/>
            <w:webHidden/>
          </w:rPr>
          <w:fldChar w:fldCharType="begin"/>
        </w:r>
        <w:r>
          <w:rPr>
            <w:noProof/>
            <w:webHidden/>
          </w:rPr>
          <w:instrText xml:space="preserve"> PAGEREF _Toc154068730 \h </w:instrText>
        </w:r>
        <w:r>
          <w:rPr>
            <w:noProof/>
            <w:webHidden/>
          </w:rPr>
        </w:r>
        <w:r>
          <w:rPr>
            <w:noProof/>
            <w:webHidden/>
          </w:rPr>
          <w:fldChar w:fldCharType="separate"/>
        </w:r>
        <w:r w:rsidR="00504826">
          <w:rPr>
            <w:noProof/>
            <w:webHidden/>
          </w:rPr>
          <w:t>1-4</w:t>
        </w:r>
        <w:r>
          <w:rPr>
            <w:noProof/>
            <w:webHidden/>
          </w:rPr>
          <w:fldChar w:fldCharType="end"/>
        </w:r>
      </w:hyperlink>
    </w:p>
    <w:p w14:paraId="7A2741DE" w14:textId="09B1C92E" w:rsidR="007A4683" w:rsidRDefault="007A4683">
      <w:pPr>
        <w:pStyle w:val="TOC3"/>
        <w:rPr>
          <w:rFonts w:eastAsiaTheme="minorEastAsia" w:cstheme="minorBidi"/>
          <w:noProof/>
          <w:color w:val="auto"/>
          <w:kern w:val="2"/>
          <w:sz w:val="22"/>
          <w:szCs w:val="22"/>
          <w:lang w:eastAsia="en-CA"/>
          <w14:ligatures w14:val="standardContextual"/>
        </w:rPr>
      </w:pPr>
      <w:hyperlink w:anchor="_Toc154068731" w:history="1">
        <w:r w:rsidRPr="00393B4F">
          <w:rPr>
            <w:rStyle w:val="Hyperlink"/>
            <w:noProof/>
          </w:rPr>
          <w:t>1.3.4</w:t>
        </w:r>
        <w:r>
          <w:rPr>
            <w:rFonts w:eastAsiaTheme="minorEastAsia" w:cstheme="minorBidi"/>
            <w:noProof/>
            <w:color w:val="auto"/>
            <w:kern w:val="2"/>
            <w:sz w:val="22"/>
            <w:szCs w:val="22"/>
            <w:lang w:eastAsia="en-CA"/>
            <w14:ligatures w14:val="standardContextual"/>
          </w:rPr>
          <w:tab/>
        </w:r>
        <w:r w:rsidRPr="00393B4F">
          <w:rPr>
            <w:rStyle w:val="Hyperlink"/>
            <w:noProof/>
          </w:rPr>
          <w:t>Bill 213: Better for People, Smarter for Business Act, 2020</w:t>
        </w:r>
        <w:r>
          <w:rPr>
            <w:noProof/>
            <w:webHidden/>
          </w:rPr>
          <w:tab/>
        </w:r>
        <w:r>
          <w:rPr>
            <w:noProof/>
            <w:webHidden/>
          </w:rPr>
          <w:fldChar w:fldCharType="begin"/>
        </w:r>
        <w:r>
          <w:rPr>
            <w:noProof/>
            <w:webHidden/>
          </w:rPr>
          <w:instrText xml:space="preserve"> PAGEREF _Toc154068731 \h </w:instrText>
        </w:r>
        <w:r>
          <w:rPr>
            <w:noProof/>
            <w:webHidden/>
          </w:rPr>
        </w:r>
        <w:r>
          <w:rPr>
            <w:noProof/>
            <w:webHidden/>
          </w:rPr>
          <w:fldChar w:fldCharType="separate"/>
        </w:r>
        <w:r w:rsidR="00504826">
          <w:rPr>
            <w:noProof/>
            <w:webHidden/>
          </w:rPr>
          <w:t>1-8</w:t>
        </w:r>
        <w:r>
          <w:rPr>
            <w:noProof/>
            <w:webHidden/>
          </w:rPr>
          <w:fldChar w:fldCharType="end"/>
        </w:r>
      </w:hyperlink>
    </w:p>
    <w:p w14:paraId="4F16E599" w14:textId="31788CAF" w:rsidR="007A4683" w:rsidRDefault="007A4683">
      <w:pPr>
        <w:pStyle w:val="TOC3"/>
        <w:rPr>
          <w:rFonts w:eastAsiaTheme="minorEastAsia" w:cstheme="minorBidi"/>
          <w:noProof/>
          <w:color w:val="auto"/>
          <w:kern w:val="2"/>
          <w:sz w:val="22"/>
          <w:szCs w:val="22"/>
          <w:lang w:eastAsia="en-CA"/>
          <w14:ligatures w14:val="standardContextual"/>
        </w:rPr>
      </w:pPr>
      <w:hyperlink w:anchor="_Toc154068732" w:history="1">
        <w:r w:rsidRPr="00393B4F">
          <w:rPr>
            <w:rStyle w:val="Hyperlink"/>
            <w:noProof/>
          </w:rPr>
          <w:t>1.3.5</w:t>
        </w:r>
        <w:r>
          <w:rPr>
            <w:rFonts w:eastAsiaTheme="minorEastAsia" w:cstheme="minorBidi"/>
            <w:noProof/>
            <w:color w:val="auto"/>
            <w:kern w:val="2"/>
            <w:sz w:val="22"/>
            <w:szCs w:val="22"/>
            <w:lang w:eastAsia="en-CA"/>
            <w14:ligatures w14:val="standardContextual"/>
          </w:rPr>
          <w:tab/>
        </w:r>
        <w:r w:rsidRPr="00393B4F">
          <w:rPr>
            <w:rStyle w:val="Hyperlink"/>
            <w:noProof/>
          </w:rPr>
          <w:t>Bill 109: More Homes for Everyone Act, 2022</w:t>
        </w:r>
        <w:r>
          <w:rPr>
            <w:noProof/>
            <w:webHidden/>
          </w:rPr>
          <w:tab/>
        </w:r>
        <w:r>
          <w:rPr>
            <w:noProof/>
            <w:webHidden/>
          </w:rPr>
          <w:fldChar w:fldCharType="begin"/>
        </w:r>
        <w:r>
          <w:rPr>
            <w:noProof/>
            <w:webHidden/>
          </w:rPr>
          <w:instrText xml:space="preserve"> PAGEREF _Toc154068732 \h </w:instrText>
        </w:r>
        <w:r>
          <w:rPr>
            <w:noProof/>
            <w:webHidden/>
          </w:rPr>
        </w:r>
        <w:r>
          <w:rPr>
            <w:noProof/>
            <w:webHidden/>
          </w:rPr>
          <w:fldChar w:fldCharType="separate"/>
        </w:r>
        <w:r w:rsidR="00504826">
          <w:rPr>
            <w:noProof/>
            <w:webHidden/>
          </w:rPr>
          <w:t>1-8</w:t>
        </w:r>
        <w:r>
          <w:rPr>
            <w:noProof/>
            <w:webHidden/>
          </w:rPr>
          <w:fldChar w:fldCharType="end"/>
        </w:r>
      </w:hyperlink>
    </w:p>
    <w:p w14:paraId="3C72F37A" w14:textId="0F78EED0"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33" w:history="1">
        <w:r w:rsidRPr="00393B4F">
          <w:rPr>
            <w:rStyle w:val="Hyperlink"/>
            <w:noProof/>
          </w:rPr>
          <w:t>1.4</w:t>
        </w:r>
        <w:r>
          <w:rPr>
            <w:rFonts w:eastAsiaTheme="minorEastAsia" w:cstheme="minorBidi"/>
            <w:iCs w:val="0"/>
            <w:noProof/>
            <w:color w:val="auto"/>
            <w:kern w:val="2"/>
            <w:sz w:val="22"/>
            <w:szCs w:val="22"/>
            <w:lang w:eastAsia="en-CA"/>
            <w14:ligatures w14:val="standardContextual"/>
          </w:rPr>
          <w:tab/>
        </w:r>
        <w:r w:rsidRPr="00393B4F">
          <w:rPr>
            <w:rStyle w:val="Hyperlink"/>
            <w:noProof/>
          </w:rPr>
          <w:t>Changes to the D.C.A. – Bill 23: More Homes Built Faster Act, 2022</w:t>
        </w:r>
        <w:r>
          <w:rPr>
            <w:noProof/>
            <w:webHidden/>
          </w:rPr>
          <w:tab/>
        </w:r>
        <w:r>
          <w:rPr>
            <w:noProof/>
            <w:webHidden/>
          </w:rPr>
          <w:fldChar w:fldCharType="begin"/>
        </w:r>
        <w:r>
          <w:rPr>
            <w:noProof/>
            <w:webHidden/>
          </w:rPr>
          <w:instrText xml:space="preserve"> PAGEREF _Toc154068733 \h </w:instrText>
        </w:r>
        <w:r>
          <w:rPr>
            <w:noProof/>
            <w:webHidden/>
          </w:rPr>
        </w:r>
        <w:r>
          <w:rPr>
            <w:noProof/>
            <w:webHidden/>
          </w:rPr>
          <w:fldChar w:fldCharType="separate"/>
        </w:r>
        <w:r w:rsidR="00504826">
          <w:rPr>
            <w:noProof/>
            <w:webHidden/>
          </w:rPr>
          <w:t>1-8</w:t>
        </w:r>
        <w:r>
          <w:rPr>
            <w:noProof/>
            <w:webHidden/>
          </w:rPr>
          <w:fldChar w:fldCharType="end"/>
        </w:r>
      </w:hyperlink>
    </w:p>
    <w:p w14:paraId="20F36172" w14:textId="7EA41C93" w:rsidR="007A4683" w:rsidRDefault="007A4683">
      <w:pPr>
        <w:pStyle w:val="TOC3"/>
        <w:rPr>
          <w:rFonts w:eastAsiaTheme="minorEastAsia" w:cstheme="minorBidi"/>
          <w:noProof/>
          <w:color w:val="auto"/>
          <w:kern w:val="2"/>
          <w:sz w:val="22"/>
          <w:szCs w:val="22"/>
          <w:lang w:eastAsia="en-CA"/>
          <w14:ligatures w14:val="standardContextual"/>
        </w:rPr>
      </w:pPr>
      <w:hyperlink w:anchor="_Toc154068734" w:history="1">
        <w:r w:rsidRPr="00393B4F">
          <w:rPr>
            <w:rStyle w:val="Hyperlink"/>
            <w:noProof/>
          </w:rPr>
          <w:t>1.4.1</w:t>
        </w:r>
        <w:r>
          <w:rPr>
            <w:rFonts w:eastAsiaTheme="minorEastAsia" w:cstheme="minorBidi"/>
            <w:noProof/>
            <w:color w:val="auto"/>
            <w:kern w:val="2"/>
            <w:sz w:val="22"/>
            <w:szCs w:val="22"/>
            <w:lang w:eastAsia="en-CA"/>
            <w14:ligatures w14:val="standardContextual"/>
          </w:rPr>
          <w:tab/>
        </w:r>
        <w:r w:rsidRPr="00393B4F">
          <w:rPr>
            <w:rStyle w:val="Hyperlink"/>
            <w:noProof/>
          </w:rPr>
          <w:t>Additional Residential Unit Exemption</w:t>
        </w:r>
        <w:r>
          <w:rPr>
            <w:noProof/>
            <w:webHidden/>
          </w:rPr>
          <w:tab/>
        </w:r>
        <w:r>
          <w:rPr>
            <w:noProof/>
            <w:webHidden/>
          </w:rPr>
          <w:fldChar w:fldCharType="begin"/>
        </w:r>
        <w:r>
          <w:rPr>
            <w:noProof/>
            <w:webHidden/>
          </w:rPr>
          <w:instrText xml:space="preserve"> PAGEREF _Toc154068734 \h </w:instrText>
        </w:r>
        <w:r>
          <w:rPr>
            <w:noProof/>
            <w:webHidden/>
          </w:rPr>
        </w:r>
        <w:r>
          <w:rPr>
            <w:noProof/>
            <w:webHidden/>
          </w:rPr>
          <w:fldChar w:fldCharType="separate"/>
        </w:r>
        <w:r w:rsidR="00504826">
          <w:rPr>
            <w:noProof/>
            <w:webHidden/>
          </w:rPr>
          <w:t>1-9</w:t>
        </w:r>
        <w:r>
          <w:rPr>
            <w:noProof/>
            <w:webHidden/>
          </w:rPr>
          <w:fldChar w:fldCharType="end"/>
        </w:r>
      </w:hyperlink>
    </w:p>
    <w:p w14:paraId="33EE08E3" w14:textId="251756F0" w:rsidR="007A4683" w:rsidRDefault="007A4683">
      <w:pPr>
        <w:pStyle w:val="TOC3"/>
        <w:rPr>
          <w:rFonts w:eastAsiaTheme="minorEastAsia" w:cstheme="minorBidi"/>
          <w:noProof/>
          <w:color w:val="auto"/>
          <w:kern w:val="2"/>
          <w:sz w:val="22"/>
          <w:szCs w:val="22"/>
          <w:lang w:eastAsia="en-CA"/>
          <w14:ligatures w14:val="standardContextual"/>
        </w:rPr>
      </w:pPr>
      <w:hyperlink w:anchor="_Toc154068735" w:history="1">
        <w:r w:rsidRPr="00393B4F">
          <w:rPr>
            <w:rStyle w:val="Hyperlink"/>
            <w:noProof/>
          </w:rPr>
          <w:t>1.4.2</w:t>
        </w:r>
        <w:r>
          <w:rPr>
            <w:rFonts w:eastAsiaTheme="minorEastAsia" w:cstheme="minorBidi"/>
            <w:noProof/>
            <w:color w:val="auto"/>
            <w:kern w:val="2"/>
            <w:sz w:val="22"/>
            <w:szCs w:val="22"/>
            <w:lang w:eastAsia="en-CA"/>
            <w14:ligatures w14:val="standardContextual"/>
          </w:rPr>
          <w:tab/>
        </w:r>
        <w:r w:rsidRPr="00393B4F">
          <w:rPr>
            <w:rStyle w:val="Hyperlink"/>
            <w:noProof/>
          </w:rPr>
          <w:t>Removal of Housing as an Eligible D.C. Service</w:t>
        </w:r>
        <w:r>
          <w:rPr>
            <w:noProof/>
            <w:webHidden/>
          </w:rPr>
          <w:tab/>
        </w:r>
        <w:r>
          <w:rPr>
            <w:noProof/>
            <w:webHidden/>
          </w:rPr>
          <w:fldChar w:fldCharType="begin"/>
        </w:r>
        <w:r>
          <w:rPr>
            <w:noProof/>
            <w:webHidden/>
          </w:rPr>
          <w:instrText xml:space="preserve"> PAGEREF _Toc154068735 \h </w:instrText>
        </w:r>
        <w:r>
          <w:rPr>
            <w:noProof/>
            <w:webHidden/>
          </w:rPr>
        </w:r>
        <w:r>
          <w:rPr>
            <w:noProof/>
            <w:webHidden/>
          </w:rPr>
          <w:fldChar w:fldCharType="separate"/>
        </w:r>
        <w:r w:rsidR="00504826">
          <w:rPr>
            <w:noProof/>
            <w:webHidden/>
          </w:rPr>
          <w:t>1-9</w:t>
        </w:r>
        <w:r>
          <w:rPr>
            <w:noProof/>
            <w:webHidden/>
          </w:rPr>
          <w:fldChar w:fldCharType="end"/>
        </w:r>
      </w:hyperlink>
    </w:p>
    <w:p w14:paraId="4DD7C854" w14:textId="3B25394E" w:rsidR="007A4683" w:rsidRDefault="007A4683">
      <w:pPr>
        <w:pStyle w:val="TOC3"/>
        <w:rPr>
          <w:rFonts w:eastAsiaTheme="minorEastAsia" w:cstheme="minorBidi"/>
          <w:noProof/>
          <w:color w:val="auto"/>
          <w:kern w:val="2"/>
          <w:sz w:val="22"/>
          <w:szCs w:val="22"/>
          <w:lang w:eastAsia="en-CA"/>
          <w14:ligatures w14:val="standardContextual"/>
        </w:rPr>
      </w:pPr>
      <w:hyperlink w:anchor="_Toc154068736" w:history="1">
        <w:r w:rsidRPr="00393B4F">
          <w:rPr>
            <w:rStyle w:val="Hyperlink"/>
            <w:noProof/>
          </w:rPr>
          <w:t>1.4.3</w:t>
        </w:r>
        <w:r>
          <w:rPr>
            <w:rFonts w:eastAsiaTheme="minorEastAsia" w:cstheme="minorBidi"/>
            <w:noProof/>
            <w:color w:val="auto"/>
            <w:kern w:val="2"/>
            <w:sz w:val="22"/>
            <w:szCs w:val="22"/>
            <w:lang w:eastAsia="en-CA"/>
            <w14:ligatures w14:val="standardContextual"/>
          </w:rPr>
          <w:tab/>
        </w:r>
        <w:r w:rsidRPr="00393B4F">
          <w:rPr>
            <w:rStyle w:val="Hyperlink"/>
            <w:noProof/>
          </w:rPr>
          <w:t>New Statutory Exemption for Non-Profit Housing</w:t>
        </w:r>
        <w:r>
          <w:rPr>
            <w:noProof/>
            <w:webHidden/>
          </w:rPr>
          <w:tab/>
        </w:r>
        <w:r>
          <w:rPr>
            <w:noProof/>
            <w:webHidden/>
          </w:rPr>
          <w:fldChar w:fldCharType="begin"/>
        </w:r>
        <w:r>
          <w:rPr>
            <w:noProof/>
            <w:webHidden/>
          </w:rPr>
          <w:instrText xml:space="preserve"> PAGEREF _Toc154068736 \h </w:instrText>
        </w:r>
        <w:r>
          <w:rPr>
            <w:noProof/>
            <w:webHidden/>
          </w:rPr>
        </w:r>
        <w:r>
          <w:rPr>
            <w:noProof/>
            <w:webHidden/>
          </w:rPr>
          <w:fldChar w:fldCharType="separate"/>
        </w:r>
        <w:r w:rsidR="00504826">
          <w:rPr>
            <w:noProof/>
            <w:webHidden/>
          </w:rPr>
          <w:t>1-9</w:t>
        </w:r>
        <w:r>
          <w:rPr>
            <w:noProof/>
            <w:webHidden/>
          </w:rPr>
          <w:fldChar w:fldCharType="end"/>
        </w:r>
      </w:hyperlink>
    </w:p>
    <w:p w14:paraId="6A2D0C84" w14:textId="0B71DFE2" w:rsidR="007A4683" w:rsidRDefault="007A4683">
      <w:pPr>
        <w:pStyle w:val="TOC3"/>
        <w:rPr>
          <w:rFonts w:eastAsiaTheme="minorEastAsia" w:cstheme="minorBidi"/>
          <w:noProof/>
          <w:color w:val="auto"/>
          <w:kern w:val="2"/>
          <w:sz w:val="22"/>
          <w:szCs w:val="22"/>
          <w:lang w:eastAsia="en-CA"/>
          <w14:ligatures w14:val="standardContextual"/>
        </w:rPr>
      </w:pPr>
      <w:hyperlink w:anchor="_Toc154068737" w:history="1">
        <w:r w:rsidRPr="00393B4F">
          <w:rPr>
            <w:rStyle w:val="Hyperlink"/>
            <w:noProof/>
          </w:rPr>
          <w:t>1.4.4</w:t>
        </w:r>
        <w:r>
          <w:rPr>
            <w:rFonts w:eastAsiaTheme="minorEastAsia" w:cstheme="minorBidi"/>
            <w:noProof/>
            <w:color w:val="auto"/>
            <w:kern w:val="2"/>
            <w:sz w:val="22"/>
            <w:szCs w:val="22"/>
            <w:lang w:eastAsia="en-CA"/>
            <w14:ligatures w14:val="standardContextual"/>
          </w:rPr>
          <w:tab/>
        </w:r>
        <w:r w:rsidRPr="00393B4F">
          <w:rPr>
            <w:rStyle w:val="Hyperlink"/>
            <w:noProof/>
          </w:rPr>
          <w:t>New Statutory Exemptions for Affordable Units, Attainable Units, and Affordable Inclusionary Zoning Units</w:t>
        </w:r>
        <w:r>
          <w:rPr>
            <w:noProof/>
            <w:webHidden/>
          </w:rPr>
          <w:tab/>
        </w:r>
        <w:r>
          <w:rPr>
            <w:noProof/>
            <w:webHidden/>
          </w:rPr>
          <w:fldChar w:fldCharType="begin"/>
        </w:r>
        <w:r>
          <w:rPr>
            <w:noProof/>
            <w:webHidden/>
          </w:rPr>
          <w:instrText xml:space="preserve"> PAGEREF _Toc154068737 \h </w:instrText>
        </w:r>
        <w:r>
          <w:rPr>
            <w:noProof/>
            <w:webHidden/>
          </w:rPr>
        </w:r>
        <w:r>
          <w:rPr>
            <w:noProof/>
            <w:webHidden/>
          </w:rPr>
          <w:fldChar w:fldCharType="separate"/>
        </w:r>
        <w:r w:rsidR="00504826">
          <w:rPr>
            <w:noProof/>
            <w:webHidden/>
          </w:rPr>
          <w:t>1-10</w:t>
        </w:r>
        <w:r>
          <w:rPr>
            <w:noProof/>
            <w:webHidden/>
          </w:rPr>
          <w:fldChar w:fldCharType="end"/>
        </w:r>
      </w:hyperlink>
    </w:p>
    <w:p w14:paraId="5D46012A" w14:textId="5422FD7D" w:rsidR="007A4683" w:rsidRDefault="007A4683">
      <w:pPr>
        <w:pStyle w:val="TOC3"/>
        <w:rPr>
          <w:rFonts w:eastAsiaTheme="minorEastAsia" w:cstheme="minorBidi"/>
          <w:noProof/>
          <w:color w:val="auto"/>
          <w:kern w:val="2"/>
          <w:sz w:val="22"/>
          <w:szCs w:val="22"/>
          <w:lang w:eastAsia="en-CA"/>
          <w14:ligatures w14:val="standardContextual"/>
        </w:rPr>
      </w:pPr>
      <w:hyperlink w:anchor="_Toc154068738" w:history="1">
        <w:r w:rsidRPr="00393B4F">
          <w:rPr>
            <w:rStyle w:val="Hyperlink"/>
            <w:noProof/>
          </w:rPr>
          <w:t>1.4.5</w:t>
        </w:r>
        <w:r>
          <w:rPr>
            <w:rFonts w:eastAsiaTheme="minorEastAsia" w:cstheme="minorBidi"/>
            <w:noProof/>
            <w:color w:val="auto"/>
            <w:kern w:val="2"/>
            <w:sz w:val="22"/>
            <w:szCs w:val="22"/>
            <w:lang w:eastAsia="en-CA"/>
            <w14:ligatures w14:val="standardContextual"/>
          </w:rPr>
          <w:tab/>
        </w:r>
        <w:r w:rsidRPr="00393B4F">
          <w:rPr>
            <w:rStyle w:val="Hyperlink"/>
            <w:noProof/>
          </w:rPr>
          <w:t>Historical Level of Service extended to 15-year period instead of the historical 10-year period</w:t>
        </w:r>
        <w:r>
          <w:rPr>
            <w:noProof/>
            <w:webHidden/>
          </w:rPr>
          <w:tab/>
        </w:r>
        <w:r>
          <w:rPr>
            <w:noProof/>
            <w:webHidden/>
          </w:rPr>
          <w:fldChar w:fldCharType="begin"/>
        </w:r>
        <w:r>
          <w:rPr>
            <w:noProof/>
            <w:webHidden/>
          </w:rPr>
          <w:instrText xml:space="preserve"> PAGEREF _Toc154068738 \h </w:instrText>
        </w:r>
        <w:r>
          <w:rPr>
            <w:noProof/>
            <w:webHidden/>
          </w:rPr>
        </w:r>
        <w:r>
          <w:rPr>
            <w:noProof/>
            <w:webHidden/>
          </w:rPr>
          <w:fldChar w:fldCharType="separate"/>
        </w:r>
        <w:r w:rsidR="00504826">
          <w:rPr>
            <w:noProof/>
            <w:webHidden/>
          </w:rPr>
          <w:t>1-11</w:t>
        </w:r>
        <w:r>
          <w:rPr>
            <w:noProof/>
            <w:webHidden/>
          </w:rPr>
          <w:fldChar w:fldCharType="end"/>
        </w:r>
      </w:hyperlink>
    </w:p>
    <w:p w14:paraId="61A78099" w14:textId="4D342BD1" w:rsidR="007A4683" w:rsidRDefault="007A4683">
      <w:pPr>
        <w:pStyle w:val="TOC3"/>
        <w:rPr>
          <w:rFonts w:eastAsiaTheme="minorEastAsia" w:cstheme="minorBidi"/>
          <w:noProof/>
          <w:color w:val="auto"/>
          <w:kern w:val="2"/>
          <w:sz w:val="22"/>
          <w:szCs w:val="22"/>
          <w:lang w:eastAsia="en-CA"/>
          <w14:ligatures w14:val="standardContextual"/>
        </w:rPr>
      </w:pPr>
      <w:hyperlink w:anchor="_Toc154068739" w:history="1">
        <w:r w:rsidRPr="00393B4F">
          <w:rPr>
            <w:rStyle w:val="Hyperlink"/>
            <w:noProof/>
          </w:rPr>
          <w:t>1.4.6</w:t>
        </w:r>
        <w:r>
          <w:rPr>
            <w:rFonts w:eastAsiaTheme="minorEastAsia" w:cstheme="minorBidi"/>
            <w:noProof/>
            <w:color w:val="auto"/>
            <w:kern w:val="2"/>
            <w:sz w:val="22"/>
            <w:szCs w:val="22"/>
            <w:lang w:eastAsia="en-CA"/>
            <w14:ligatures w14:val="standardContextual"/>
          </w:rPr>
          <w:tab/>
        </w:r>
        <w:r w:rsidRPr="00393B4F">
          <w:rPr>
            <w:rStyle w:val="Hyperlink"/>
            <w:noProof/>
          </w:rPr>
          <w:t>Revised Definition of Capital Costs</w:t>
        </w:r>
        <w:r>
          <w:rPr>
            <w:noProof/>
            <w:webHidden/>
          </w:rPr>
          <w:tab/>
        </w:r>
        <w:r>
          <w:rPr>
            <w:noProof/>
            <w:webHidden/>
          </w:rPr>
          <w:fldChar w:fldCharType="begin"/>
        </w:r>
        <w:r>
          <w:rPr>
            <w:noProof/>
            <w:webHidden/>
          </w:rPr>
          <w:instrText xml:space="preserve"> PAGEREF _Toc154068739 \h </w:instrText>
        </w:r>
        <w:r>
          <w:rPr>
            <w:noProof/>
            <w:webHidden/>
          </w:rPr>
        </w:r>
        <w:r>
          <w:rPr>
            <w:noProof/>
            <w:webHidden/>
          </w:rPr>
          <w:fldChar w:fldCharType="separate"/>
        </w:r>
        <w:r w:rsidR="00504826">
          <w:rPr>
            <w:noProof/>
            <w:webHidden/>
          </w:rPr>
          <w:t>1-11</w:t>
        </w:r>
        <w:r>
          <w:rPr>
            <w:noProof/>
            <w:webHidden/>
          </w:rPr>
          <w:fldChar w:fldCharType="end"/>
        </w:r>
      </w:hyperlink>
    </w:p>
    <w:p w14:paraId="71FD4D56" w14:textId="41A837B7" w:rsidR="007A4683" w:rsidRDefault="007A4683">
      <w:pPr>
        <w:pStyle w:val="TOC3"/>
        <w:rPr>
          <w:rFonts w:eastAsiaTheme="minorEastAsia" w:cstheme="minorBidi"/>
          <w:noProof/>
          <w:color w:val="auto"/>
          <w:kern w:val="2"/>
          <w:sz w:val="22"/>
          <w:szCs w:val="22"/>
          <w:lang w:eastAsia="en-CA"/>
          <w14:ligatures w14:val="standardContextual"/>
        </w:rPr>
      </w:pPr>
      <w:hyperlink w:anchor="_Toc154068740" w:history="1">
        <w:r w:rsidRPr="00393B4F">
          <w:rPr>
            <w:rStyle w:val="Hyperlink"/>
            <w:noProof/>
          </w:rPr>
          <w:t>1.4.7</w:t>
        </w:r>
        <w:r>
          <w:rPr>
            <w:rFonts w:eastAsiaTheme="minorEastAsia" w:cstheme="minorBidi"/>
            <w:noProof/>
            <w:color w:val="auto"/>
            <w:kern w:val="2"/>
            <w:sz w:val="22"/>
            <w:szCs w:val="22"/>
            <w:lang w:eastAsia="en-CA"/>
            <w14:ligatures w14:val="standardContextual"/>
          </w:rPr>
          <w:tab/>
        </w:r>
        <w:r w:rsidRPr="00393B4F">
          <w:rPr>
            <w:rStyle w:val="Hyperlink"/>
            <w:noProof/>
          </w:rPr>
          <w:t>Mandatory Phase-in of a D.C.</w:t>
        </w:r>
        <w:r>
          <w:rPr>
            <w:noProof/>
            <w:webHidden/>
          </w:rPr>
          <w:tab/>
        </w:r>
        <w:r>
          <w:rPr>
            <w:noProof/>
            <w:webHidden/>
          </w:rPr>
          <w:fldChar w:fldCharType="begin"/>
        </w:r>
        <w:r>
          <w:rPr>
            <w:noProof/>
            <w:webHidden/>
          </w:rPr>
          <w:instrText xml:space="preserve"> PAGEREF _Toc154068740 \h </w:instrText>
        </w:r>
        <w:r>
          <w:rPr>
            <w:noProof/>
            <w:webHidden/>
          </w:rPr>
        </w:r>
        <w:r>
          <w:rPr>
            <w:noProof/>
            <w:webHidden/>
          </w:rPr>
          <w:fldChar w:fldCharType="separate"/>
        </w:r>
        <w:r w:rsidR="00504826">
          <w:rPr>
            <w:noProof/>
            <w:webHidden/>
          </w:rPr>
          <w:t>1-11</w:t>
        </w:r>
        <w:r>
          <w:rPr>
            <w:noProof/>
            <w:webHidden/>
          </w:rPr>
          <w:fldChar w:fldCharType="end"/>
        </w:r>
      </w:hyperlink>
    </w:p>
    <w:p w14:paraId="1D8CE1B1" w14:textId="3C451C03" w:rsidR="007A4683" w:rsidRDefault="007A4683">
      <w:pPr>
        <w:pStyle w:val="TOC3"/>
        <w:rPr>
          <w:rFonts w:eastAsiaTheme="minorEastAsia" w:cstheme="minorBidi"/>
          <w:noProof/>
          <w:color w:val="auto"/>
          <w:kern w:val="2"/>
          <w:sz w:val="22"/>
          <w:szCs w:val="22"/>
          <w:lang w:eastAsia="en-CA"/>
          <w14:ligatures w14:val="standardContextual"/>
        </w:rPr>
      </w:pPr>
      <w:hyperlink w:anchor="_Toc154068741" w:history="1">
        <w:r w:rsidRPr="00393B4F">
          <w:rPr>
            <w:rStyle w:val="Hyperlink"/>
            <w:noProof/>
          </w:rPr>
          <w:t>1.4.8</w:t>
        </w:r>
        <w:r>
          <w:rPr>
            <w:rFonts w:eastAsiaTheme="minorEastAsia" w:cstheme="minorBidi"/>
            <w:noProof/>
            <w:color w:val="auto"/>
            <w:kern w:val="2"/>
            <w:sz w:val="22"/>
            <w:szCs w:val="22"/>
            <w:lang w:eastAsia="en-CA"/>
            <w14:ligatures w14:val="standardContextual"/>
          </w:rPr>
          <w:tab/>
        </w:r>
        <w:r w:rsidRPr="00393B4F">
          <w:rPr>
            <w:rStyle w:val="Hyperlink"/>
            <w:noProof/>
          </w:rPr>
          <w:t>D.C. By-law Expiry</w:t>
        </w:r>
        <w:r>
          <w:rPr>
            <w:noProof/>
            <w:webHidden/>
          </w:rPr>
          <w:tab/>
        </w:r>
        <w:r>
          <w:rPr>
            <w:noProof/>
            <w:webHidden/>
          </w:rPr>
          <w:fldChar w:fldCharType="begin"/>
        </w:r>
        <w:r>
          <w:rPr>
            <w:noProof/>
            <w:webHidden/>
          </w:rPr>
          <w:instrText xml:space="preserve"> PAGEREF _Toc154068741 \h </w:instrText>
        </w:r>
        <w:r>
          <w:rPr>
            <w:noProof/>
            <w:webHidden/>
          </w:rPr>
        </w:r>
        <w:r>
          <w:rPr>
            <w:noProof/>
            <w:webHidden/>
          </w:rPr>
          <w:fldChar w:fldCharType="separate"/>
        </w:r>
        <w:r w:rsidR="00504826">
          <w:rPr>
            <w:noProof/>
            <w:webHidden/>
          </w:rPr>
          <w:t>1-11</w:t>
        </w:r>
        <w:r>
          <w:rPr>
            <w:noProof/>
            <w:webHidden/>
          </w:rPr>
          <w:fldChar w:fldCharType="end"/>
        </w:r>
      </w:hyperlink>
    </w:p>
    <w:p w14:paraId="40BB0A1C" w14:textId="208D3E8E" w:rsidR="007A4683" w:rsidRDefault="007A4683">
      <w:pPr>
        <w:pStyle w:val="TOC3"/>
        <w:rPr>
          <w:rFonts w:eastAsiaTheme="minorEastAsia" w:cstheme="minorBidi"/>
          <w:noProof/>
          <w:color w:val="auto"/>
          <w:kern w:val="2"/>
          <w:sz w:val="22"/>
          <w:szCs w:val="22"/>
          <w:lang w:eastAsia="en-CA"/>
          <w14:ligatures w14:val="standardContextual"/>
        </w:rPr>
      </w:pPr>
      <w:hyperlink w:anchor="_Toc154068742" w:history="1">
        <w:r w:rsidRPr="00393B4F">
          <w:rPr>
            <w:rStyle w:val="Hyperlink"/>
            <w:noProof/>
          </w:rPr>
          <w:t>1.4.9</w:t>
        </w:r>
        <w:r>
          <w:rPr>
            <w:rFonts w:eastAsiaTheme="minorEastAsia" w:cstheme="minorBidi"/>
            <w:noProof/>
            <w:color w:val="auto"/>
            <w:kern w:val="2"/>
            <w:sz w:val="22"/>
            <w:szCs w:val="22"/>
            <w:lang w:eastAsia="en-CA"/>
            <w14:ligatures w14:val="standardContextual"/>
          </w:rPr>
          <w:tab/>
        </w:r>
        <w:r w:rsidRPr="00393B4F">
          <w:rPr>
            <w:rStyle w:val="Hyperlink"/>
            <w:noProof/>
          </w:rPr>
          <w:t>Installment Payments</w:t>
        </w:r>
        <w:r>
          <w:rPr>
            <w:noProof/>
            <w:webHidden/>
          </w:rPr>
          <w:tab/>
        </w:r>
        <w:r>
          <w:rPr>
            <w:noProof/>
            <w:webHidden/>
          </w:rPr>
          <w:fldChar w:fldCharType="begin"/>
        </w:r>
        <w:r>
          <w:rPr>
            <w:noProof/>
            <w:webHidden/>
          </w:rPr>
          <w:instrText xml:space="preserve"> PAGEREF _Toc154068742 \h </w:instrText>
        </w:r>
        <w:r>
          <w:rPr>
            <w:noProof/>
            <w:webHidden/>
          </w:rPr>
        </w:r>
        <w:r>
          <w:rPr>
            <w:noProof/>
            <w:webHidden/>
          </w:rPr>
          <w:fldChar w:fldCharType="separate"/>
        </w:r>
        <w:r w:rsidR="00504826">
          <w:rPr>
            <w:noProof/>
            <w:webHidden/>
          </w:rPr>
          <w:t>1-11</w:t>
        </w:r>
        <w:r>
          <w:rPr>
            <w:noProof/>
            <w:webHidden/>
          </w:rPr>
          <w:fldChar w:fldCharType="end"/>
        </w:r>
      </w:hyperlink>
    </w:p>
    <w:p w14:paraId="627FA099" w14:textId="1A9CC5BE" w:rsidR="007A4683" w:rsidRDefault="007A4683">
      <w:pPr>
        <w:pStyle w:val="TOC3"/>
        <w:rPr>
          <w:rFonts w:eastAsiaTheme="minorEastAsia" w:cstheme="minorBidi"/>
          <w:noProof/>
          <w:color w:val="auto"/>
          <w:kern w:val="2"/>
          <w:sz w:val="22"/>
          <w:szCs w:val="22"/>
          <w:lang w:eastAsia="en-CA"/>
          <w14:ligatures w14:val="standardContextual"/>
        </w:rPr>
      </w:pPr>
      <w:hyperlink w:anchor="_Toc154068743" w:history="1">
        <w:r w:rsidRPr="00393B4F">
          <w:rPr>
            <w:rStyle w:val="Hyperlink"/>
            <w:noProof/>
          </w:rPr>
          <w:t>1.4.10</w:t>
        </w:r>
        <w:r>
          <w:rPr>
            <w:rFonts w:eastAsiaTheme="minorEastAsia" w:cstheme="minorBidi"/>
            <w:noProof/>
            <w:color w:val="auto"/>
            <w:kern w:val="2"/>
            <w:sz w:val="22"/>
            <w:szCs w:val="22"/>
            <w:lang w:eastAsia="en-CA"/>
            <w14:ligatures w14:val="standardContextual"/>
          </w:rPr>
          <w:tab/>
        </w:r>
        <w:r w:rsidRPr="00393B4F">
          <w:rPr>
            <w:rStyle w:val="Hyperlink"/>
            <w:noProof/>
          </w:rPr>
          <w:t>Rental Housing Discount</w:t>
        </w:r>
        <w:r>
          <w:rPr>
            <w:noProof/>
            <w:webHidden/>
          </w:rPr>
          <w:tab/>
        </w:r>
        <w:r>
          <w:rPr>
            <w:noProof/>
            <w:webHidden/>
          </w:rPr>
          <w:fldChar w:fldCharType="begin"/>
        </w:r>
        <w:r>
          <w:rPr>
            <w:noProof/>
            <w:webHidden/>
          </w:rPr>
          <w:instrText xml:space="preserve"> PAGEREF _Toc154068743 \h </w:instrText>
        </w:r>
        <w:r>
          <w:rPr>
            <w:noProof/>
            <w:webHidden/>
          </w:rPr>
        </w:r>
        <w:r>
          <w:rPr>
            <w:noProof/>
            <w:webHidden/>
          </w:rPr>
          <w:fldChar w:fldCharType="separate"/>
        </w:r>
        <w:r w:rsidR="00504826">
          <w:rPr>
            <w:noProof/>
            <w:webHidden/>
          </w:rPr>
          <w:t>1-11</w:t>
        </w:r>
        <w:r>
          <w:rPr>
            <w:noProof/>
            <w:webHidden/>
          </w:rPr>
          <w:fldChar w:fldCharType="end"/>
        </w:r>
      </w:hyperlink>
    </w:p>
    <w:p w14:paraId="5540F1E9" w14:textId="3768F807" w:rsidR="007A4683" w:rsidRDefault="007A4683">
      <w:pPr>
        <w:pStyle w:val="TOC3"/>
        <w:rPr>
          <w:rFonts w:eastAsiaTheme="minorEastAsia" w:cstheme="minorBidi"/>
          <w:noProof/>
          <w:color w:val="auto"/>
          <w:kern w:val="2"/>
          <w:sz w:val="22"/>
          <w:szCs w:val="22"/>
          <w:lang w:eastAsia="en-CA"/>
          <w14:ligatures w14:val="standardContextual"/>
        </w:rPr>
      </w:pPr>
      <w:hyperlink w:anchor="_Toc154068744" w:history="1">
        <w:r w:rsidRPr="00393B4F">
          <w:rPr>
            <w:rStyle w:val="Hyperlink"/>
            <w:noProof/>
          </w:rPr>
          <w:t>1.4.11</w:t>
        </w:r>
        <w:r>
          <w:rPr>
            <w:rFonts w:eastAsiaTheme="minorEastAsia" w:cstheme="minorBidi"/>
            <w:noProof/>
            <w:color w:val="auto"/>
            <w:kern w:val="2"/>
            <w:sz w:val="22"/>
            <w:szCs w:val="22"/>
            <w:lang w:eastAsia="en-CA"/>
            <w14:ligatures w14:val="standardContextual"/>
          </w:rPr>
          <w:tab/>
        </w:r>
        <w:r w:rsidRPr="00393B4F">
          <w:rPr>
            <w:rStyle w:val="Hyperlink"/>
            <w:noProof/>
          </w:rPr>
          <w:t>Maximum Interest Rate for Installments and Determination of Charge for Eligible Site Plan and Zoning By-law Amendment Applications</w:t>
        </w:r>
        <w:r>
          <w:rPr>
            <w:noProof/>
            <w:webHidden/>
          </w:rPr>
          <w:tab/>
        </w:r>
        <w:r>
          <w:rPr>
            <w:noProof/>
            <w:webHidden/>
          </w:rPr>
          <w:fldChar w:fldCharType="begin"/>
        </w:r>
        <w:r>
          <w:rPr>
            <w:noProof/>
            <w:webHidden/>
          </w:rPr>
          <w:instrText xml:space="preserve"> PAGEREF _Toc154068744 \h </w:instrText>
        </w:r>
        <w:r>
          <w:rPr>
            <w:noProof/>
            <w:webHidden/>
          </w:rPr>
        </w:r>
        <w:r>
          <w:rPr>
            <w:noProof/>
            <w:webHidden/>
          </w:rPr>
          <w:fldChar w:fldCharType="separate"/>
        </w:r>
        <w:r w:rsidR="00504826">
          <w:rPr>
            <w:noProof/>
            <w:webHidden/>
          </w:rPr>
          <w:t>1-12</w:t>
        </w:r>
        <w:r>
          <w:rPr>
            <w:noProof/>
            <w:webHidden/>
          </w:rPr>
          <w:fldChar w:fldCharType="end"/>
        </w:r>
      </w:hyperlink>
    </w:p>
    <w:p w14:paraId="378D59CD" w14:textId="08C5FC28" w:rsidR="007A4683" w:rsidRDefault="007A4683">
      <w:pPr>
        <w:pStyle w:val="TOC3"/>
        <w:rPr>
          <w:rFonts w:eastAsiaTheme="minorEastAsia" w:cstheme="minorBidi"/>
          <w:noProof/>
          <w:color w:val="auto"/>
          <w:kern w:val="2"/>
          <w:sz w:val="22"/>
          <w:szCs w:val="22"/>
          <w:lang w:eastAsia="en-CA"/>
          <w14:ligatures w14:val="standardContextual"/>
        </w:rPr>
      </w:pPr>
      <w:hyperlink w:anchor="_Toc154068745" w:history="1">
        <w:r w:rsidRPr="00393B4F">
          <w:rPr>
            <w:rStyle w:val="Hyperlink"/>
            <w:noProof/>
          </w:rPr>
          <w:t>1.4.12</w:t>
        </w:r>
        <w:r>
          <w:rPr>
            <w:rFonts w:eastAsiaTheme="minorEastAsia" w:cstheme="minorBidi"/>
            <w:noProof/>
            <w:color w:val="auto"/>
            <w:kern w:val="2"/>
            <w:sz w:val="22"/>
            <w:szCs w:val="22"/>
            <w:lang w:eastAsia="en-CA"/>
            <w14:ligatures w14:val="standardContextual"/>
          </w:rPr>
          <w:tab/>
        </w:r>
        <w:r w:rsidRPr="00393B4F">
          <w:rPr>
            <w:rStyle w:val="Hyperlink"/>
            <w:noProof/>
          </w:rPr>
          <w:t>Requirement to Allocate Funds Received</w:t>
        </w:r>
        <w:r>
          <w:rPr>
            <w:noProof/>
            <w:webHidden/>
          </w:rPr>
          <w:tab/>
        </w:r>
        <w:r>
          <w:rPr>
            <w:noProof/>
            <w:webHidden/>
          </w:rPr>
          <w:fldChar w:fldCharType="begin"/>
        </w:r>
        <w:r>
          <w:rPr>
            <w:noProof/>
            <w:webHidden/>
          </w:rPr>
          <w:instrText xml:space="preserve"> PAGEREF _Toc154068745 \h </w:instrText>
        </w:r>
        <w:r>
          <w:rPr>
            <w:noProof/>
            <w:webHidden/>
          </w:rPr>
        </w:r>
        <w:r>
          <w:rPr>
            <w:noProof/>
            <w:webHidden/>
          </w:rPr>
          <w:fldChar w:fldCharType="separate"/>
        </w:r>
        <w:r w:rsidR="00504826">
          <w:rPr>
            <w:noProof/>
            <w:webHidden/>
          </w:rPr>
          <w:t>1-12</w:t>
        </w:r>
        <w:r>
          <w:rPr>
            <w:noProof/>
            <w:webHidden/>
          </w:rPr>
          <w:fldChar w:fldCharType="end"/>
        </w:r>
      </w:hyperlink>
    </w:p>
    <w:p w14:paraId="44BAE55D" w14:textId="4852B4F4" w:rsidR="007A4683" w:rsidRDefault="007A4683">
      <w:pPr>
        <w:pStyle w:val="TOC1"/>
        <w:rPr>
          <w:rFonts w:eastAsiaTheme="minorEastAsia" w:cstheme="minorBidi"/>
          <w:b w:val="0"/>
          <w:bCs w:val="0"/>
          <w:noProof/>
          <w:color w:val="auto"/>
          <w:kern w:val="2"/>
          <w:sz w:val="22"/>
          <w:szCs w:val="22"/>
          <w:lang w:eastAsia="en-CA"/>
          <w14:ligatures w14:val="standardContextual"/>
        </w:rPr>
      </w:pPr>
      <w:hyperlink w:anchor="_Toc154068746" w:history="1">
        <w:r w:rsidRPr="00393B4F">
          <w:rPr>
            <w:rStyle w:val="Hyperlink"/>
            <w:noProof/>
          </w:rPr>
          <w:t>2.</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Current City of Cambridge Policy</w:t>
        </w:r>
        <w:r>
          <w:rPr>
            <w:noProof/>
            <w:webHidden/>
          </w:rPr>
          <w:tab/>
        </w:r>
        <w:r>
          <w:rPr>
            <w:noProof/>
            <w:webHidden/>
          </w:rPr>
          <w:fldChar w:fldCharType="begin"/>
        </w:r>
        <w:r>
          <w:rPr>
            <w:noProof/>
            <w:webHidden/>
          </w:rPr>
          <w:instrText xml:space="preserve"> PAGEREF _Toc154068746 \h </w:instrText>
        </w:r>
        <w:r>
          <w:rPr>
            <w:noProof/>
            <w:webHidden/>
          </w:rPr>
        </w:r>
        <w:r>
          <w:rPr>
            <w:noProof/>
            <w:webHidden/>
          </w:rPr>
          <w:fldChar w:fldCharType="separate"/>
        </w:r>
        <w:r w:rsidR="00504826">
          <w:rPr>
            <w:noProof/>
            <w:webHidden/>
          </w:rPr>
          <w:t>2-1</w:t>
        </w:r>
        <w:r>
          <w:rPr>
            <w:noProof/>
            <w:webHidden/>
          </w:rPr>
          <w:fldChar w:fldCharType="end"/>
        </w:r>
      </w:hyperlink>
    </w:p>
    <w:p w14:paraId="50FDFD19" w14:textId="7420E7AF"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47" w:history="1">
        <w:r w:rsidRPr="00393B4F">
          <w:rPr>
            <w:rStyle w:val="Hyperlink"/>
            <w:noProof/>
          </w:rPr>
          <w:t>2.1</w:t>
        </w:r>
        <w:r>
          <w:rPr>
            <w:rFonts w:eastAsiaTheme="minorEastAsia" w:cstheme="minorBidi"/>
            <w:iCs w:val="0"/>
            <w:noProof/>
            <w:color w:val="auto"/>
            <w:kern w:val="2"/>
            <w:sz w:val="22"/>
            <w:szCs w:val="22"/>
            <w:lang w:eastAsia="en-CA"/>
            <w14:ligatures w14:val="standardContextual"/>
          </w:rPr>
          <w:tab/>
        </w:r>
        <w:r w:rsidRPr="00393B4F">
          <w:rPr>
            <w:rStyle w:val="Hyperlink"/>
            <w:noProof/>
          </w:rPr>
          <w:t>Schedule of Charges</w:t>
        </w:r>
        <w:r>
          <w:rPr>
            <w:noProof/>
            <w:webHidden/>
          </w:rPr>
          <w:tab/>
        </w:r>
        <w:r>
          <w:rPr>
            <w:noProof/>
            <w:webHidden/>
          </w:rPr>
          <w:fldChar w:fldCharType="begin"/>
        </w:r>
        <w:r>
          <w:rPr>
            <w:noProof/>
            <w:webHidden/>
          </w:rPr>
          <w:instrText xml:space="preserve"> PAGEREF _Toc154068747 \h </w:instrText>
        </w:r>
        <w:r>
          <w:rPr>
            <w:noProof/>
            <w:webHidden/>
          </w:rPr>
        </w:r>
        <w:r>
          <w:rPr>
            <w:noProof/>
            <w:webHidden/>
          </w:rPr>
          <w:fldChar w:fldCharType="separate"/>
        </w:r>
        <w:r w:rsidR="00504826">
          <w:rPr>
            <w:noProof/>
            <w:webHidden/>
          </w:rPr>
          <w:t>2-1</w:t>
        </w:r>
        <w:r>
          <w:rPr>
            <w:noProof/>
            <w:webHidden/>
          </w:rPr>
          <w:fldChar w:fldCharType="end"/>
        </w:r>
      </w:hyperlink>
    </w:p>
    <w:p w14:paraId="3AE37988" w14:textId="18B460E9"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48" w:history="1">
        <w:r w:rsidRPr="00393B4F">
          <w:rPr>
            <w:rStyle w:val="Hyperlink"/>
            <w:noProof/>
          </w:rPr>
          <w:t>2.2</w:t>
        </w:r>
        <w:r>
          <w:rPr>
            <w:rFonts w:eastAsiaTheme="minorEastAsia" w:cstheme="minorBidi"/>
            <w:iCs w:val="0"/>
            <w:noProof/>
            <w:color w:val="auto"/>
            <w:kern w:val="2"/>
            <w:sz w:val="22"/>
            <w:szCs w:val="22"/>
            <w:lang w:eastAsia="en-CA"/>
            <w14:ligatures w14:val="standardContextual"/>
          </w:rPr>
          <w:tab/>
        </w:r>
        <w:r w:rsidRPr="00393B4F">
          <w:rPr>
            <w:rStyle w:val="Hyperlink"/>
            <w:noProof/>
          </w:rPr>
          <w:t>Services Covered</w:t>
        </w:r>
        <w:r>
          <w:rPr>
            <w:noProof/>
            <w:webHidden/>
          </w:rPr>
          <w:tab/>
        </w:r>
        <w:r>
          <w:rPr>
            <w:noProof/>
            <w:webHidden/>
          </w:rPr>
          <w:fldChar w:fldCharType="begin"/>
        </w:r>
        <w:r>
          <w:rPr>
            <w:noProof/>
            <w:webHidden/>
          </w:rPr>
          <w:instrText xml:space="preserve"> PAGEREF _Toc154068748 \h </w:instrText>
        </w:r>
        <w:r>
          <w:rPr>
            <w:noProof/>
            <w:webHidden/>
          </w:rPr>
        </w:r>
        <w:r>
          <w:rPr>
            <w:noProof/>
            <w:webHidden/>
          </w:rPr>
          <w:fldChar w:fldCharType="separate"/>
        </w:r>
        <w:r w:rsidR="00504826">
          <w:rPr>
            <w:noProof/>
            <w:webHidden/>
          </w:rPr>
          <w:t>2-1</w:t>
        </w:r>
        <w:r>
          <w:rPr>
            <w:noProof/>
            <w:webHidden/>
          </w:rPr>
          <w:fldChar w:fldCharType="end"/>
        </w:r>
      </w:hyperlink>
    </w:p>
    <w:p w14:paraId="43BA1AE4" w14:textId="3DFAD54E"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49" w:history="1">
        <w:r w:rsidRPr="00393B4F">
          <w:rPr>
            <w:rStyle w:val="Hyperlink"/>
            <w:noProof/>
          </w:rPr>
          <w:t>2.3</w:t>
        </w:r>
        <w:r>
          <w:rPr>
            <w:rFonts w:eastAsiaTheme="minorEastAsia" w:cstheme="minorBidi"/>
            <w:iCs w:val="0"/>
            <w:noProof/>
            <w:color w:val="auto"/>
            <w:kern w:val="2"/>
            <w:sz w:val="22"/>
            <w:szCs w:val="22"/>
            <w:lang w:eastAsia="en-CA"/>
            <w14:ligatures w14:val="standardContextual"/>
          </w:rPr>
          <w:tab/>
        </w:r>
        <w:r w:rsidRPr="00393B4F">
          <w:rPr>
            <w:rStyle w:val="Hyperlink"/>
            <w:noProof/>
          </w:rPr>
          <w:t>Timing of D.C. Calculation and Payment</w:t>
        </w:r>
        <w:r>
          <w:rPr>
            <w:noProof/>
            <w:webHidden/>
          </w:rPr>
          <w:tab/>
        </w:r>
        <w:r>
          <w:rPr>
            <w:noProof/>
            <w:webHidden/>
          </w:rPr>
          <w:fldChar w:fldCharType="begin"/>
        </w:r>
        <w:r>
          <w:rPr>
            <w:noProof/>
            <w:webHidden/>
          </w:rPr>
          <w:instrText xml:space="preserve"> PAGEREF _Toc154068749 \h </w:instrText>
        </w:r>
        <w:r>
          <w:rPr>
            <w:noProof/>
            <w:webHidden/>
          </w:rPr>
        </w:r>
        <w:r>
          <w:rPr>
            <w:noProof/>
            <w:webHidden/>
          </w:rPr>
          <w:fldChar w:fldCharType="separate"/>
        </w:r>
        <w:r w:rsidR="00504826">
          <w:rPr>
            <w:noProof/>
            <w:webHidden/>
          </w:rPr>
          <w:t>2-2</w:t>
        </w:r>
        <w:r>
          <w:rPr>
            <w:noProof/>
            <w:webHidden/>
          </w:rPr>
          <w:fldChar w:fldCharType="end"/>
        </w:r>
      </w:hyperlink>
    </w:p>
    <w:p w14:paraId="55A6776A" w14:textId="59A9662B"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50" w:history="1">
        <w:r w:rsidRPr="00393B4F">
          <w:rPr>
            <w:rStyle w:val="Hyperlink"/>
            <w:noProof/>
          </w:rPr>
          <w:t>2.4</w:t>
        </w:r>
        <w:r>
          <w:rPr>
            <w:rFonts w:eastAsiaTheme="minorEastAsia" w:cstheme="minorBidi"/>
            <w:iCs w:val="0"/>
            <w:noProof/>
            <w:color w:val="auto"/>
            <w:kern w:val="2"/>
            <w:sz w:val="22"/>
            <w:szCs w:val="22"/>
            <w:lang w:eastAsia="en-CA"/>
            <w14:ligatures w14:val="standardContextual"/>
          </w:rPr>
          <w:tab/>
        </w:r>
        <w:r w:rsidRPr="00393B4F">
          <w:rPr>
            <w:rStyle w:val="Hyperlink"/>
            <w:noProof/>
          </w:rPr>
          <w:t>Indexing</w:t>
        </w:r>
        <w:r>
          <w:rPr>
            <w:noProof/>
            <w:webHidden/>
          </w:rPr>
          <w:tab/>
        </w:r>
        <w:r>
          <w:rPr>
            <w:noProof/>
            <w:webHidden/>
          </w:rPr>
          <w:fldChar w:fldCharType="begin"/>
        </w:r>
        <w:r>
          <w:rPr>
            <w:noProof/>
            <w:webHidden/>
          </w:rPr>
          <w:instrText xml:space="preserve"> PAGEREF _Toc154068750 \h </w:instrText>
        </w:r>
        <w:r>
          <w:rPr>
            <w:noProof/>
            <w:webHidden/>
          </w:rPr>
        </w:r>
        <w:r>
          <w:rPr>
            <w:noProof/>
            <w:webHidden/>
          </w:rPr>
          <w:fldChar w:fldCharType="separate"/>
        </w:r>
        <w:r w:rsidR="00504826">
          <w:rPr>
            <w:noProof/>
            <w:webHidden/>
          </w:rPr>
          <w:t>2-2</w:t>
        </w:r>
        <w:r>
          <w:rPr>
            <w:noProof/>
            <w:webHidden/>
          </w:rPr>
          <w:fldChar w:fldCharType="end"/>
        </w:r>
      </w:hyperlink>
    </w:p>
    <w:p w14:paraId="6E400E7F" w14:textId="5FD0E72F"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51" w:history="1">
        <w:r w:rsidRPr="00393B4F">
          <w:rPr>
            <w:rStyle w:val="Hyperlink"/>
            <w:noProof/>
          </w:rPr>
          <w:t>2.5</w:t>
        </w:r>
        <w:r>
          <w:rPr>
            <w:rFonts w:eastAsiaTheme="minorEastAsia" w:cstheme="minorBidi"/>
            <w:iCs w:val="0"/>
            <w:noProof/>
            <w:color w:val="auto"/>
            <w:kern w:val="2"/>
            <w:sz w:val="22"/>
            <w:szCs w:val="22"/>
            <w:lang w:eastAsia="en-CA"/>
            <w14:ligatures w14:val="standardContextual"/>
          </w:rPr>
          <w:tab/>
        </w:r>
        <w:r w:rsidRPr="00393B4F">
          <w:rPr>
            <w:rStyle w:val="Hyperlink"/>
            <w:noProof/>
          </w:rPr>
          <w:t>Redevelopment Allowance</w:t>
        </w:r>
        <w:r>
          <w:rPr>
            <w:noProof/>
            <w:webHidden/>
          </w:rPr>
          <w:tab/>
        </w:r>
        <w:r>
          <w:rPr>
            <w:noProof/>
            <w:webHidden/>
          </w:rPr>
          <w:fldChar w:fldCharType="begin"/>
        </w:r>
        <w:r>
          <w:rPr>
            <w:noProof/>
            <w:webHidden/>
          </w:rPr>
          <w:instrText xml:space="preserve"> PAGEREF _Toc154068751 \h </w:instrText>
        </w:r>
        <w:r>
          <w:rPr>
            <w:noProof/>
            <w:webHidden/>
          </w:rPr>
        </w:r>
        <w:r>
          <w:rPr>
            <w:noProof/>
            <w:webHidden/>
          </w:rPr>
          <w:fldChar w:fldCharType="separate"/>
        </w:r>
        <w:r w:rsidR="00504826">
          <w:rPr>
            <w:noProof/>
            <w:webHidden/>
          </w:rPr>
          <w:t>2-2</w:t>
        </w:r>
        <w:r>
          <w:rPr>
            <w:noProof/>
            <w:webHidden/>
          </w:rPr>
          <w:fldChar w:fldCharType="end"/>
        </w:r>
      </w:hyperlink>
    </w:p>
    <w:p w14:paraId="2A791B0B" w14:textId="3430F16A"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52" w:history="1">
        <w:r w:rsidRPr="00393B4F">
          <w:rPr>
            <w:rStyle w:val="Hyperlink"/>
            <w:noProof/>
          </w:rPr>
          <w:t>2.6</w:t>
        </w:r>
        <w:r>
          <w:rPr>
            <w:rFonts w:eastAsiaTheme="minorEastAsia" w:cstheme="minorBidi"/>
            <w:iCs w:val="0"/>
            <w:noProof/>
            <w:color w:val="auto"/>
            <w:kern w:val="2"/>
            <w:sz w:val="22"/>
            <w:szCs w:val="22"/>
            <w:lang w:eastAsia="en-CA"/>
            <w14:ligatures w14:val="standardContextual"/>
          </w:rPr>
          <w:tab/>
        </w:r>
        <w:r w:rsidRPr="00393B4F">
          <w:rPr>
            <w:rStyle w:val="Hyperlink"/>
            <w:noProof/>
          </w:rPr>
          <w:t>Exemptions</w:t>
        </w:r>
        <w:r>
          <w:rPr>
            <w:noProof/>
            <w:webHidden/>
          </w:rPr>
          <w:tab/>
        </w:r>
        <w:r>
          <w:rPr>
            <w:noProof/>
            <w:webHidden/>
          </w:rPr>
          <w:fldChar w:fldCharType="begin"/>
        </w:r>
        <w:r>
          <w:rPr>
            <w:noProof/>
            <w:webHidden/>
          </w:rPr>
          <w:instrText xml:space="preserve"> PAGEREF _Toc154068752 \h </w:instrText>
        </w:r>
        <w:r>
          <w:rPr>
            <w:noProof/>
            <w:webHidden/>
          </w:rPr>
        </w:r>
        <w:r>
          <w:rPr>
            <w:noProof/>
            <w:webHidden/>
          </w:rPr>
          <w:fldChar w:fldCharType="separate"/>
        </w:r>
        <w:r w:rsidR="00504826">
          <w:rPr>
            <w:noProof/>
            <w:webHidden/>
          </w:rPr>
          <w:t>2-4</w:t>
        </w:r>
        <w:r>
          <w:rPr>
            <w:noProof/>
            <w:webHidden/>
          </w:rPr>
          <w:fldChar w:fldCharType="end"/>
        </w:r>
      </w:hyperlink>
    </w:p>
    <w:p w14:paraId="030F470C" w14:textId="209C51BC" w:rsidR="007A4683" w:rsidRDefault="007A4683">
      <w:pPr>
        <w:pStyle w:val="TOC1"/>
        <w:rPr>
          <w:rFonts w:eastAsiaTheme="minorEastAsia" w:cstheme="minorBidi"/>
          <w:b w:val="0"/>
          <w:bCs w:val="0"/>
          <w:noProof/>
          <w:color w:val="auto"/>
          <w:kern w:val="2"/>
          <w:sz w:val="22"/>
          <w:szCs w:val="22"/>
          <w:lang w:eastAsia="en-CA"/>
          <w14:ligatures w14:val="standardContextual"/>
        </w:rPr>
      </w:pPr>
      <w:hyperlink w:anchor="_Toc154068753" w:history="1">
        <w:r w:rsidRPr="00393B4F">
          <w:rPr>
            <w:rStyle w:val="Hyperlink"/>
            <w:noProof/>
          </w:rPr>
          <w:t>3.</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Anticipated Development in the City of Cambridge</w:t>
        </w:r>
        <w:r>
          <w:rPr>
            <w:noProof/>
            <w:webHidden/>
          </w:rPr>
          <w:tab/>
        </w:r>
        <w:r>
          <w:rPr>
            <w:noProof/>
            <w:webHidden/>
          </w:rPr>
          <w:fldChar w:fldCharType="begin"/>
        </w:r>
        <w:r>
          <w:rPr>
            <w:noProof/>
            <w:webHidden/>
          </w:rPr>
          <w:instrText xml:space="preserve"> PAGEREF _Toc154068753 \h </w:instrText>
        </w:r>
        <w:r>
          <w:rPr>
            <w:noProof/>
            <w:webHidden/>
          </w:rPr>
        </w:r>
        <w:r>
          <w:rPr>
            <w:noProof/>
            <w:webHidden/>
          </w:rPr>
          <w:fldChar w:fldCharType="separate"/>
        </w:r>
        <w:r w:rsidR="00504826">
          <w:rPr>
            <w:noProof/>
            <w:webHidden/>
          </w:rPr>
          <w:t>3-1</w:t>
        </w:r>
        <w:r>
          <w:rPr>
            <w:noProof/>
            <w:webHidden/>
          </w:rPr>
          <w:fldChar w:fldCharType="end"/>
        </w:r>
      </w:hyperlink>
    </w:p>
    <w:p w14:paraId="7C2546DC" w14:textId="7E8038C0"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54" w:history="1">
        <w:r w:rsidRPr="00393B4F">
          <w:rPr>
            <w:rStyle w:val="Hyperlink"/>
            <w:noProof/>
          </w:rPr>
          <w:t>3.1</w:t>
        </w:r>
        <w:r>
          <w:rPr>
            <w:rFonts w:eastAsiaTheme="minorEastAsia" w:cstheme="minorBidi"/>
            <w:iCs w:val="0"/>
            <w:noProof/>
            <w:color w:val="auto"/>
            <w:kern w:val="2"/>
            <w:sz w:val="22"/>
            <w:szCs w:val="22"/>
            <w:lang w:eastAsia="en-CA"/>
            <w14:ligatures w14:val="standardContextual"/>
          </w:rPr>
          <w:tab/>
        </w:r>
        <w:r w:rsidRPr="00393B4F">
          <w:rPr>
            <w:rStyle w:val="Hyperlink"/>
            <w:noProof/>
          </w:rPr>
          <w:t>Requirement of the Act</w:t>
        </w:r>
        <w:r>
          <w:rPr>
            <w:noProof/>
            <w:webHidden/>
          </w:rPr>
          <w:tab/>
        </w:r>
        <w:r>
          <w:rPr>
            <w:noProof/>
            <w:webHidden/>
          </w:rPr>
          <w:fldChar w:fldCharType="begin"/>
        </w:r>
        <w:r>
          <w:rPr>
            <w:noProof/>
            <w:webHidden/>
          </w:rPr>
          <w:instrText xml:space="preserve"> PAGEREF _Toc154068754 \h </w:instrText>
        </w:r>
        <w:r>
          <w:rPr>
            <w:noProof/>
            <w:webHidden/>
          </w:rPr>
        </w:r>
        <w:r>
          <w:rPr>
            <w:noProof/>
            <w:webHidden/>
          </w:rPr>
          <w:fldChar w:fldCharType="separate"/>
        </w:r>
        <w:r w:rsidR="00504826">
          <w:rPr>
            <w:noProof/>
            <w:webHidden/>
          </w:rPr>
          <w:t>3-1</w:t>
        </w:r>
        <w:r>
          <w:rPr>
            <w:noProof/>
            <w:webHidden/>
          </w:rPr>
          <w:fldChar w:fldCharType="end"/>
        </w:r>
      </w:hyperlink>
    </w:p>
    <w:p w14:paraId="3D1C6C45" w14:textId="6EEAFF0B"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55" w:history="1">
        <w:r w:rsidRPr="00393B4F">
          <w:rPr>
            <w:rStyle w:val="Hyperlink"/>
            <w:noProof/>
          </w:rPr>
          <w:t>3.2</w:t>
        </w:r>
        <w:r>
          <w:rPr>
            <w:rFonts w:eastAsiaTheme="minorEastAsia" w:cstheme="minorBidi"/>
            <w:iCs w:val="0"/>
            <w:noProof/>
            <w:color w:val="auto"/>
            <w:kern w:val="2"/>
            <w:sz w:val="22"/>
            <w:szCs w:val="22"/>
            <w:lang w:eastAsia="en-CA"/>
            <w14:ligatures w14:val="standardContextual"/>
          </w:rPr>
          <w:tab/>
        </w:r>
        <w:r w:rsidRPr="00393B4F">
          <w:rPr>
            <w:rStyle w:val="Hyperlink"/>
            <w:noProof/>
          </w:rPr>
          <w:t>Basis of Population, Household and Non-Residential Gross Floor Area Forecast</w:t>
        </w:r>
        <w:r>
          <w:rPr>
            <w:noProof/>
            <w:webHidden/>
          </w:rPr>
          <w:tab/>
        </w:r>
        <w:r>
          <w:rPr>
            <w:noProof/>
            <w:webHidden/>
          </w:rPr>
          <w:fldChar w:fldCharType="begin"/>
        </w:r>
        <w:r>
          <w:rPr>
            <w:noProof/>
            <w:webHidden/>
          </w:rPr>
          <w:instrText xml:space="preserve"> PAGEREF _Toc154068755 \h </w:instrText>
        </w:r>
        <w:r>
          <w:rPr>
            <w:noProof/>
            <w:webHidden/>
          </w:rPr>
        </w:r>
        <w:r>
          <w:rPr>
            <w:noProof/>
            <w:webHidden/>
          </w:rPr>
          <w:fldChar w:fldCharType="separate"/>
        </w:r>
        <w:r w:rsidR="00504826">
          <w:rPr>
            <w:noProof/>
            <w:webHidden/>
          </w:rPr>
          <w:t>3-1</w:t>
        </w:r>
        <w:r>
          <w:rPr>
            <w:noProof/>
            <w:webHidden/>
          </w:rPr>
          <w:fldChar w:fldCharType="end"/>
        </w:r>
      </w:hyperlink>
    </w:p>
    <w:p w14:paraId="067277B3" w14:textId="6EED3C95"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56" w:history="1">
        <w:r w:rsidRPr="00393B4F">
          <w:rPr>
            <w:rStyle w:val="Hyperlink"/>
            <w:noProof/>
          </w:rPr>
          <w:t>3.3</w:t>
        </w:r>
        <w:r>
          <w:rPr>
            <w:rFonts w:eastAsiaTheme="minorEastAsia" w:cstheme="minorBidi"/>
            <w:iCs w:val="0"/>
            <w:noProof/>
            <w:color w:val="auto"/>
            <w:kern w:val="2"/>
            <w:sz w:val="22"/>
            <w:szCs w:val="22"/>
            <w:lang w:eastAsia="en-CA"/>
            <w14:ligatures w14:val="standardContextual"/>
          </w:rPr>
          <w:tab/>
        </w:r>
        <w:r w:rsidRPr="00393B4F">
          <w:rPr>
            <w:rStyle w:val="Hyperlink"/>
            <w:noProof/>
          </w:rPr>
          <w:t>Summary of Growth Forecast</w:t>
        </w:r>
        <w:r>
          <w:rPr>
            <w:noProof/>
            <w:webHidden/>
          </w:rPr>
          <w:tab/>
        </w:r>
        <w:r>
          <w:rPr>
            <w:noProof/>
            <w:webHidden/>
          </w:rPr>
          <w:fldChar w:fldCharType="begin"/>
        </w:r>
        <w:r>
          <w:rPr>
            <w:noProof/>
            <w:webHidden/>
          </w:rPr>
          <w:instrText xml:space="preserve"> PAGEREF _Toc154068756 \h </w:instrText>
        </w:r>
        <w:r>
          <w:rPr>
            <w:noProof/>
            <w:webHidden/>
          </w:rPr>
        </w:r>
        <w:r>
          <w:rPr>
            <w:noProof/>
            <w:webHidden/>
          </w:rPr>
          <w:fldChar w:fldCharType="separate"/>
        </w:r>
        <w:r w:rsidR="00504826">
          <w:rPr>
            <w:noProof/>
            <w:webHidden/>
          </w:rPr>
          <w:t>3-2</w:t>
        </w:r>
        <w:r>
          <w:rPr>
            <w:noProof/>
            <w:webHidden/>
          </w:rPr>
          <w:fldChar w:fldCharType="end"/>
        </w:r>
      </w:hyperlink>
    </w:p>
    <w:p w14:paraId="7066BF54" w14:textId="36BAD16B" w:rsidR="007A4683" w:rsidRDefault="007A4683">
      <w:pPr>
        <w:pStyle w:val="TOC1"/>
        <w:rPr>
          <w:rFonts w:eastAsiaTheme="minorEastAsia" w:cstheme="minorBidi"/>
          <w:b w:val="0"/>
          <w:bCs w:val="0"/>
          <w:noProof/>
          <w:color w:val="auto"/>
          <w:kern w:val="2"/>
          <w:sz w:val="22"/>
          <w:szCs w:val="22"/>
          <w:lang w:eastAsia="en-CA"/>
          <w14:ligatures w14:val="standardContextual"/>
        </w:rPr>
      </w:pPr>
      <w:hyperlink w:anchor="_Toc154068757" w:history="1">
        <w:r w:rsidRPr="00393B4F">
          <w:rPr>
            <w:rStyle w:val="Hyperlink"/>
            <w:noProof/>
          </w:rPr>
          <w:t>4.</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The Approach to the Calculation of the Charge</w:t>
        </w:r>
        <w:r>
          <w:rPr>
            <w:noProof/>
            <w:webHidden/>
          </w:rPr>
          <w:tab/>
        </w:r>
        <w:r>
          <w:rPr>
            <w:noProof/>
            <w:webHidden/>
          </w:rPr>
          <w:fldChar w:fldCharType="begin"/>
        </w:r>
        <w:r>
          <w:rPr>
            <w:noProof/>
            <w:webHidden/>
          </w:rPr>
          <w:instrText xml:space="preserve"> PAGEREF _Toc154068757 \h </w:instrText>
        </w:r>
        <w:r>
          <w:rPr>
            <w:noProof/>
            <w:webHidden/>
          </w:rPr>
        </w:r>
        <w:r>
          <w:rPr>
            <w:noProof/>
            <w:webHidden/>
          </w:rPr>
          <w:fldChar w:fldCharType="separate"/>
        </w:r>
        <w:r w:rsidR="00504826">
          <w:rPr>
            <w:noProof/>
            <w:webHidden/>
          </w:rPr>
          <w:t>4-1</w:t>
        </w:r>
        <w:r>
          <w:rPr>
            <w:noProof/>
            <w:webHidden/>
          </w:rPr>
          <w:fldChar w:fldCharType="end"/>
        </w:r>
      </w:hyperlink>
    </w:p>
    <w:p w14:paraId="30C6E749" w14:textId="0FEB84C9"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58" w:history="1">
        <w:r w:rsidRPr="00393B4F">
          <w:rPr>
            <w:rStyle w:val="Hyperlink"/>
            <w:noProof/>
          </w:rPr>
          <w:t>4.1</w:t>
        </w:r>
        <w:r>
          <w:rPr>
            <w:rFonts w:eastAsiaTheme="minorEastAsia" w:cstheme="minorBidi"/>
            <w:iCs w:val="0"/>
            <w:noProof/>
            <w:color w:val="auto"/>
            <w:kern w:val="2"/>
            <w:sz w:val="22"/>
            <w:szCs w:val="22"/>
            <w:lang w:eastAsia="en-CA"/>
            <w14:ligatures w14:val="standardContextual"/>
          </w:rPr>
          <w:tab/>
        </w:r>
        <w:r w:rsidRPr="00393B4F">
          <w:rPr>
            <w:rStyle w:val="Hyperlink"/>
            <w:noProof/>
          </w:rPr>
          <w:t>Introduction</w:t>
        </w:r>
        <w:r>
          <w:rPr>
            <w:noProof/>
            <w:webHidden/>
          </w:rPr>
          <w:tab/>
        </w:r>
        <w:r>
          <w:rPr>
            <w:noProof/>
            <w:webHidden/>
          </w:rPr>
          <w:fldChar w:fldCharType="begin"/>
        </w:r>
        <w:r>
          <w:rPr>
            <w:noProof/>
            <w:webHidden/>
          </w:rPr>
          <w:instrText xml:space="preserve"> PAGEREF _Toc154068758 \h </w:instrText>
        </w:r>
        <w:r>
          <w:rPr>
            <w:noProof/>
            <w:webHidden/>
          </w:rPr>
        </w:r>
        <w:r>
          <w:rPr>
            <w:noProof/>
            <w:webHidden/>
          </w:rPr>
          <w:fldChar w:fldCharType="separate"/>
        </w:r>
        <w:r w:rsidR="00504826">
          <w:rPr>
            <w:noProof/>
            <w:webHidden/>
          </w:rPr>
          <w:t>4-1</w:t>
        </w:r>
        <w:r>
          <w:rPr>
            <w:noProof/>
            <w:webHidden/>
          </w:rPr>
          <w:fldChar w:fldCharType="end"/>
        </w:r>
      </w:hyperlink>
    </w:p>
    <w:p w14:paraId="59A3B967" w14:textId="348E8166"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59" w:history="1">
        <w:r w:rsidRPr="00393B4F">
          <w:rPr>
            <w:rStyle w:val="Hyperlink"/>
            <w:noProof/>
          </w:rPr>
          <w:t>4.2</w:t>
        </w:r>
        <w:r>
          <w:rPr>
            <w:rFonts w:eastAsiaTheme="minorEastAsia" w:cstheme="minorBidi"/>
            <w:iCs w:val="0"/>
            <w:noProof/>
            <w:color w:val="auto"/>
            <w:kern w:val="2"/>
            <w:sz w:val="22"/>
            <w:szCs w:val="22"/>
            <w:lang w:eastAsia="en-CA"/>
            <w14:ligatures w14:val="standardContextual"/>
          </w:rPr>
          <w:tab/>
        </w:r>
        <w:r w:rsidRPr="00393B4F">
          <w:rPr>
            <w:rStyle w:val="Hyperlink"/>
            <w:noProof/>
          </w:rPr>
          <w:t>Services Potentially Involved</w:t>
        </w:r>
        <w:r>
          <w:rPr>
            <w:noProof/>
            <w:webHidden/>
          </w:rPr>
          <w:tab/>
        </w:r>
        <w:r>
          <w:rPr>
            <w:noProof/>
            <w:webHidden/>
          </w:rPr>
          <w:fldChar w:fldCharType="begin"/>
        </w:r>
        <w:r>
          <w:rPr>
            <w:noProof/>
            <w:webHidden/>
          </w:rPr>
          <w:instrText xml:space="preserve"> PAGEREF _Toc154068759 \h </w:instrText>
        </w:r>
        <w:r>
          <w:rPr>
            <w:noProof/>
            <w:webHidden/>
          </w:rPr>
        </w:r>
        <w:r>
          <w:rPr>
            <w:noProof/>
            <w:webHidden/>
          </w:rPr>
          <w:fldChar w:fldCharType="separate"/>
        </w:r>
        <w:r w:rsidR="00504826">
          <w:rPr>
            <w:noProof/>
            <w:webHidden/>
          </w:rPr>
          <w:t>4-1</w:t>
        </w:r>
        <w:r>
          <w:rPr>
            <w:noProof/>
            <w:webHidden/>
          </w:rPr>
          <w:fldChar w:fldCharType="end"/>
        </w:r>
      </w:hyperlink>
    </w:p>
    <w:p w14:paraId="790C951B" w14:textId="5A0F604D"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60" w:history="1">
        <w:r w:rsidRPr="00393B4F">
          <w:rPr>
            <w:rStyle w:val="Hyperlink"/>
            <w:noProof/>
          </w:rPr>
          <w:t>4.3</w:t>
        </w:r>
        <w:r>
          <w:rPr>
            <w:rFonts w:eastAsiaTheme="minorEastAsia" w:cstheme="minorBidi"/>
            <w:iCs w:val="0"/>
            <w:noProof/>
            <w:color w:val="auto"/>
            <w:kern w:val="2"/>
            <w:sz w:val="22"/>
            <w:szCs w:val="22"/>
            <w:lang w:eastAsia="en-CA"/>
            <w14:ligatures w14:val="standardContextual"/>
          </w:rPr>
          <w:tab/>
        </w:r>
        <w:r w:rsidRPr="00393B4F">
          <w:rPr>
            <w:rStyle w:val="Hyperlink"/>
            <w:noProof/>
          </w:rPr>
          <w:t>Increase in the Need for Service</w:t>
        </w:r>
        <w:r>
          <w:rPr>
            <w:noProof/>
            <w:webHidden/>
          </w:rPr>
          <w:tab/>
        </w:r>
        <w:r>
          <w:rPr>
            <w:noProof/>
            <w:webHidden/>
          </w:rPr>
          <w:fldChar w:fldCharType="begin"/>
        </w:r>
        <w:r>
          <w:rPr>
            <w:noProof/>
            <w:webHidden/>
          </w:rPr>
          <w:instrText xml:space="preserve"> PAGEREF _Toc154068760 \h </w:instrText>
        </w:r>
        <w:r>
          <w:rPr>
            <w:noProof/>
            <w:webHidden/>
          </w:rPr>
        </w:r>
        <w:r>
          <w:rPr>
            <w:noProof/>
            <w:webHidden/>
          </w:rPr>
          <w:fldChar w:fldCharType="separate"/>
        </w:r>
        <w:r w:rsidR="00504826">
          <w:rPr>
            <w:noProof/>
            <w:webHidden/>
          </w:rPr>
          <w:t>4-1</w:t>
        </w:r>
        <w:r>
          <w:rPr>
            <w:noProof/>
            <w:webHidden/>
          </w:rPr>
          <w:fldChar w:fldCharType="end"/>
        </w:r>
      </w:hyperlink>
    </w:p>
    <w:p w14:paraId="72C13434" w14:textId="43CB9BCB"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61" w:history="1">
        <w:r w:rsidRPr="00393B4F">
          <w:rPr>
            <w:rStyle w:val="Hyperlink"/>
            <w:noProof/>
          </w:rPr>
          <w:t>4.4</w:t>
        </w:r>
        <w:r>
          <w:rPr>
            <w:rFonts w:eastAsiaTheme="minorEastAsia" w:cstheme="minorBidi"/>
            <w:iCs w:val="0"/>
            <w:noProof/>
            <w:color w:val="auto"/>
            <w:kern w:val="2"/>
            <w:sz w:val="22"/>
            <w:szCs w:val="22"/>
            <w:lang w:eastAsia="en-CA"/>
            <w14:ligatures w14:val="standardContextual"/>
          </w:rPr>
          <w:tab/>
        </w:r>
        <w:r w:rsidRPr="00393B4F">
          <w:rPr>
            <w:rStyle w:val="Hyperlink"/>
            <w:noProof/>
          </w:rPr>
          <w:t>Local Service Policy</w:t>
        </w:r>
        <w:r>
          <w:rPr>
            <w:noProof/>
            <w:webHidden/>
          </w:rPr>
          <w:tab/>
        </w:r>
        <w:r>
          <w:rPr>
            <w:noProof/>
            <w:webHidden/>
          </w:rPr>
          <w:fldChar w:fldCharType="begin"/>
        </w:r>
        <w:r>
          <w:rPr>
            <w:noProof/>
            <w:webHidden/>
          </w:rPr>
          <w:instrText xml:space="preserve"> PAGEREF _Toc154068761 \h </w:instrText>
        </w:r>
        <w:r>
          <w:rPr>
            <w:noProof/>
            <w:webHidden/>
          </w:rPr>
        </w:r>
        <w:r>
          <w:rPr>
            <w:noProof/>
            <w:webHidden/>
          </w:rPr>
          <w:fldChar w:fldCharType="separate"/>
        </w:r>
        <w:r w:rsidR="00504826">
          <w:rPr>
            <w:noProof/>
            <w:webHidden/>
          </w:rPr>
          <w:t>4-6</w:t>
        </w:r>
        <w:r>
          <w:rPr>
            <w:noProof/>
            <w:webHidden/>
          </w:rPr>
          <w:fldChar w:fldCharType="end"/>
        </w:r>
      </w:hyperlink>
    </w:p>
    <w:p w14:paraId="78FC916B" w14:textId="159644FD"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62" w:history="1">
        <w:r w:rsidRPr="00393B4F">
          <w:rPr>
            <w:rStyle w:val="Hyperlink"/>
            <w:noProof/>
          </w:rPr>
          <w:t>4.5</w:t>
        </w:r>
        <w:r>
          <w:rPr>
            <w:rFonts w:eastAsiaTheme="minorEastAsia" w:cstheme="minorBidi"/>
            <w:iCs w:val="0"/>
            <w:noProof/>
            <w:color w:val="auto"/>
            <w:kern w:val="2"/>
            <w:sz w:val="22"/>
            <w:szCs w:val="22"/>
            <w:lang w:eastAsia="en-CA"/>
            <w14:ligatures w14:val="standardContextual"/>
          </w:rPr>
          <w:tab/>
        </w:r>
        <w:r w:rsidRPr="00393B4F">
          <w:rPr>
            <w:rStyle w:val="Hyperlink"/>
            <w:noProof/>
          </w:rPr>
          <w:t>Capital Forecast</w:t>
        </w:r>
        <w:r>
          <w:rPr>
            <w:noProof/>
            <w:webHidden/>
          </w:rPr>
          <w:tab/>
        </w:r>
        <w:r>
          <w:rPr>
            <w:noProof/>
            <w:webHidden/>
          </w:rPr>
          <w:fldChar w:fldCharType="begin"/>
        </w:r>
        <w:r>
          <w:rPr>
            <w:noProof/>
            <w:webHidden/>
          </w:rPr>
          <w:instrText xml:space="preserve"> PAGEREF _Toc154068762 \h </w:instrText>
        </w:r>
        <w:r>
          <w:rPr>
            <w:noProof/>
            <w:webHidden/>
          </w:rPr>
        </w:r>
        <w:r>
          <w:rPr>
            <w:noProof/>
            <w:webHidden/>
          </w:rPr>
          <w:fldChar w:fldCharType="separate"/>
        </w:r>
        <w:r w:rsidR="00504826">
          <w:rPr>
            <w:noProof/>
            <w:webHidden/>
          </w:rPr>
          <w:t>4-7</w:t>
        </w:r>
        <w:r>
          <w:rPr>
            <w:noProof/>
            <w:webHidden/>
          </w:rPr>
          <w:fldChar w:fldCharType="end"/>
        </w:r>
      </w:hyperlink>
    </w:p>
    <w:p w14:paraId="0C63B0AF" w14:textId="209FC1C2"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63" w:history="1">
        <w:r w:rsidRPr="00393B4F">
          <w:rPr>
            <w:rStyle w:val="Hyperlink"/>
            <w:noProof/>
          </w:rPr>
          <w:t>4.6</w:t>
        </w:r>
        <w:r>
          <w:rPr>
            <w:rFonts w:eastAsiaTheme="minorEastAsia" w:cstheme="minorBidi"/>
            <w:iCs w:val="0"/>
            <w:noProof/>
            <w:color w:val="auto"/>
            <w:kern w:val="2"/>
            <w:sz w:val="22"/>
            <w:szCs w:val="22"/>
            <w:lang w:eastAsia="en-CA"/>
            <w14:ligatures w14:val="standardContextual"/>
          </w:rPr>
          <w:tab/>
        </w:r>
        <w:r w:rsidRPr="00393B4F">
          <w:rPr>
            <w:rStyle w:val="Hyperlink"/>
            <w:noProof/>
          </w:rPr>
          <w:t>Treatment of Credits</w:t>
        </w:r>
        <w:r>
          <w:rPr>
            <w:noProof/>
            <w:webHidden/>
          </w:rPr>
          <w:tab/>
        </w:r>
        <w:r>
          <w:rPr>
            <w:noProof/>
            <w:webHidden/>
          </w:rPr>
          <w:fldChar w:fldCharType="begin"/>
        </w:r>
        <w:r>
          <w:rPr>
            <w:noProof/>
            <w:webHidden/>
          </w:rPr>
          <w:instrText xml:space="preserve"> PAGEREF _Toc154068763 \h </w:instrText>
        </w:r>
        <w:r>
          <w:rPr>
            <w:noProof/>
            <w:webHidden/>
          </w:rPr>
        </w:r>
        <w:r>
          <w:rPr>
            <w:noProof/>
            <w:webHidden/>
          </w:rPr>
          <w:fldChar w:fldCharType="separate"/>
        </w:r>
        <w:r w:rsidR="00504826">
          <w:rPr>
            <w:noProof/>
            <w:webHidden/>
          </w:rPr>
          <w:t>4-7</w:t>
        </w:r>
        <w:r>
          <w:rPr>
            <w:noProof/>
            <w:webHidden/>
          </w:rPr>
          <w:fldChar w:fldCharType="end"/>
        </w:r>
      </w:hyperlink>
    </w:p>
    <w:p w14:paraId="677DD1F5" w14:textId="3C47E823"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64" w:history="1">
        <w:r w:rsidRPr="00393B4F">
          <w:rPr>
            <w:rStyle w:val="Hyperlink"/>
            <w:noProof/>
          </w:rPr>
          <w:t>4.7</w:t>
        </w:r>
        <w:r>
          <w:rPr>
            <w:rFonts w:eastAsiaTheme="minorEastAsia" w:cstheme="minorBidi"/>
            <w:iCs w:val="0"/>
            <w:noProof/>
            <w:color w:val="auto"/>
            <w:kern w:val="2"/>
            <w:sz w:val="22"/>
            <w:szCs w:val="22"/>
            <w:lang w:eastAsia="en-CA"/>
            <w14:ligatures w14:val="standardContextual"/>
          </w:rPr>
          <w:tab/>
        </w:r>
        <w:r w:rsidRPr="00393B4F">
          <w:rPr>
            <w:rStyle w:val="Hyperlink"/>
            <w:noProof/>
          </w:rPr>
          <w:t>Classes of Services</w:t>
        </w:r>
        <w:r>
          <w:rPr>
            <w:noProof/>
            <w:webHidden/>
          </w:rPr>
          <w:tab/>
        </w:r>
        <w:r>
          <w:rPr>
            <w:noProof/>
            <w:webHidden/>
          </w:rPr>
          <w:fldChar w:fldCharType="begin"/>
        </w:r>
        <w:r>
          <w:rPr>
            <w:noProof/>
            <w:webHidden/>
          </w:rPr>
          <w:instrText xml:space="preserve"> PAGEREF _Toc154068764 \h </w:instrText>
        </w:r>
        <w:r>
          <w:rPr>
            <w:noProof/>
            <w:webHidden/>
          </w:rPr>
        </w:r>
        <w:r>
          <w:rPr>
            <w:noProof/>
            <w:webHidden/>
          </w:rPr>
          <w:fldChar w:fldCharType="separate"/>
        </w:r>
        <w:r w:rsidR="00504826">
          <w:rPr>
            <w:noProof/>
            <w:webHidden/>
          </w:rPr>
          <w:t>4-8</w:t>
        </w:r>
        <w:r>
          <w:rPr>
            <w:noProof/>
            <w:webHidden/>
          </w:rPr>
          <w:fldChar w:fldCharType="end"/>
        </w:r>
      </w:hyperlink>
    </w:p>
    <w:p w14:paraId="60ECA088" w14:textId="24552A00"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65" w:history="1">
        <w:r w:rsidRPr="00393B4F">
          <w:rPr>
            <w:rStyle w:val="Hyperlink"/>
            <w:noProof/>
          </w:rPr>
          <w:t>4.8</w:t>
        </w:r>
        <w:r>
          <w:rPr>
            <w:rFonts w:eastAsiaTheme="minorEastAsia" w:cstheme="minorBidi"/>
            <w:iCs w:val="0"/>
            <w:noProof/>
            <w:color w:val="auto"/>
            <w:kern w:val="2"/>
            <w:sz w:val="22"/>
            <w:szCs w:val="22"/>
            <w:lang w:eastAsia="en-CA"/>
            <w14:ligatures w14:val="standardContextual"/>
          </w:rPr>
          <w:tab/>
        </w:r>
        <w:r w:rsidRPr="00393B4F">
          <w:rPr>
            <w:rStyle w:val="Hyperlink"/>
            <w:noProof/>
          </w:rPr>
          <w:t>Existing Reserve Funds</w:t>
        </w:r>
        <w:r>
          <w:rPr>
            <w:noProof/>
            <w:webHidden/>
          </w:rPr>
          <w:tab/>
        </w:r>
        <w:r>
          <w:rPr>
            <w:noProof/>
            <w:webHidden/>
          </w:rPr>
          <w:fldChar w:fldCharType="begin"/>
        </w:r>
        <w:r>
          <w:rPr>
            <w:noProof/>
            <w:webHidden/>
          </w:rPr>
          <w:instrText xml:space="preserve"> PAGEREF _Toc154068765 \h </w:instrText>
        </w:r>
        <w:r>
          <w:rPr>
            <w:noProof/>
            <w:webHidden/>
          </w:rPr>
        </w:r>
        <w:r>
          <w:rPr>
            <w:noProof/>
            <w:webHidden/>
          </w:rPr>
          <w:fldChar w:fldCharType="separate"/>
        </w:r>
        <w:r w:rsidR="00504826">
          <w:rPr>
            <w:noProof/>
            <w:webHidden/>
          </w:rPr>
          <w:t>4-8</w:t>
        </w:r>
        <w:r>
          <w:rPr>
            <w:noProof/>
            <w:webHidden/>
          </w:rPr>
          <w:fldChar w:fldCharType="end"/>
        </w:r>
      </w:hyperlink>
    </w:p>
    <w:p w14:paraId="70D77D43" w14:textId="0FFA064E"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66" w:history="1">
        <w:r w:rsidRPr="00393B4F">
          <w:rPr>
            <w:rStyle w:val="Hyperlink"/>
            <w:noProof/>
          </w:rPr>
          <w:t>4.9</w:t>
        </w:r>
        <w:r>
          <w:rPr>
            <w:rFonts w:eastAsiaTheme="minorEastAsia" w:cstheme="minorBidi"/>
            <w:iCs w:val="0"/>
            <w:noProof/>
            <w:color w:val="auto"/>
            <w:kern w:val="2"/>
            <w:sz w:val="22"/>
            <w:szCs w:val="22"/>
            <w:lang w:eastAsia="en-CA"/>
            <w14:ligatures w14:val="standardContextual"/>
          </w:rPr>
          <w:tab/>
        </w:r>
        <w:r w:rsidRPr="00393B4F">
          <w:rPr>
            <w:rStyle w:val="Hyperlink"/>
            <w:noProof/>
          </w:rPr>
          <w:t>Deductions</w:t>
        </w:r>
        <w:r>
          <w:rPr>
            <w:noProof/>
            <w:webHidden/>
          </w:rPr>
          <w:tab/>
        </w:r>
        <w:r>
          <w:rPr>
            <w:noProof/>
            <w:webHidden/>
          </w:rPr>
          <w:fldChar w:fldCharType="begin"/>
        </w:r>
        <w:r>
          <w:rPr>
            <w:noProof/>
            <w:webHidden/>
          </w:rPr>
          <w:instrText xml:space="preserve"> PAGEREF _Toc154068766 \h </w:instrText>
        </w:r>
        <w:r>
          <w:rPr>
            <w:noProof/>
            <w:webHidden/>
          </w:rPr>
        </w:r>
        <w:r>
          <w:rPr>
            <w:noProof/>
            <w:webHidden/>
          </w:rPr>
          <w:fldChar w:fldCharType="separate"/>
        </w:r>
        <w:r w:rsidR="00504826">
          <w:rPr>
            <w:noProof/>
            <w:webHidden/>
          </w:rPr>
          <w:t>4-11</w:t>
        </w:r>
        <w:r>
          <w:rPr>
            <w:noProof/>
            <w:webHidden/>
          </w:rPr>
          <w:fldChar w:fldCharType="end"/>
        </w:r>
      </w:hyperlink>
    </w:p>
    <w:p w14:paraId="15ED56D9" w14:textId="2C57372B" w:rsidR="007A4683" w:rsidRDefault="007A4683">
      <w:pPr>
        <w:pStyle w:val="TOC3"/>
        <w:rPr>
          <w:rFonts w:eastAsiaTheme="minorEastAsia" w:cstheme="minorBidi"/>
          <w:noProof/>
          <w:color w:val="auto"/>
          <w:kern w:val="2"/>
          <w:sz w:val="22"/>
          <w:szCs w:val="22"/>
          <w:lang w:eastAsia="en-CA"/>
          <w14:ligatures w14:val="standardContextual"/>
        </w:rPr>
      </w:pPr>
      <w:hyperlink w:anchor="_Toc154068767" w:history="1">
        <w:r w:rsidRPr="00393B4F">
          <w:rPr>
            <w:rStyle w:val="Hyperlink"/>
            <w:noProof/>
          </w:rPr>
          <w:t>4.9.1</w:t>
        </w:r>
        <w:r>
          <w:rPr>
            <w:rFonts w:eastAsiaTheme="minorEastAsia" w:cstheme="minorBidi"/>
            <w:noProof/>
            <w:color w:val="auto"/>
            <w:kern w:val="2"/>
            <w:sz w:val="22"/>
            <w:szCs w:val="22"/>
            <w:lang w:eastAsia="en-CA"/>
            <w14:ligatures w14:val="standardContextual"/>
          </w:rPr>
          <w:tab/>
        </w:r>
        <w:r w:rsidRPr="00393B4F">
          <w:rPr>
            <w:rStyle w:val="Hyperlink"/>
            <w:noProof/>
          </w:rPr>
          <w:t>Reduction Required by Level of Service Ceiling</w:t>
        </w:r>
        <w:r>
          <w:rPr>
            <w:noProof/>
            <w:webHidden/>
          </w:rPr>
          <w:tab/>
        </w:r>
        <w:r>
          <w:rPr>
            <w:noProof/>
            <w:webHidden/>
          </w:rPr>
          <w:fldChar w:fldCharType="begin"/>
        </w:r>
        <w:r>
          <w:rPr>
            <w:noProof/>
            <w:webHidden/>
          </w:rPr>
          <w:instrText xml:space="preserve"> PAGEREF _Toc154068767 \h </w:instrText>
        </w:r>
        <w:r>
          <w:rPr>
            <w:noProof/>
            <w:webHidden/>
          </w:rPr>
        </w:r>
        <w:r>
          <w:rPr>
            <w:noProof/>
            <w:webHidden/>
          </w:rPr>
          <w:fldChar w:fldCharType="separate"/>
        </w:r>
        <w:r w:rsidR="00504826">
          <w:rPr>
            <w:noProof/>
            <w:webHidden/>
          </w:rPr>
          <w:t>4-11</w:t>
        </w:r>
        <w:r>
          <w:rPr>
            <w:noProof/>
            <w:webHidden/>
          </w:rPr>
          <w:fldChar w:fldCharType="end"/>
        </w:r>
      </w:hyperlink>
    </w:p>
    <w:p w14:paraId="4D297EB3" w14:textId="09CB4064" w:rsidR="007A4683" w:rsidRDefault="007A4683">
      <w:pPr>
        <w:pStyle w:val="TOC3"/>
        <w:rPr>
          <w:rFonts w:eastAsiaTheme="minorEastAsia" w:cstheme="minorBidi"/>
          <w:noProof/>
          <w:color w:val="auto"/>
          <w:kern w:val="2"/>
          <w:sz w:val="22"/>
          <w:szCs w:val="22"/>
          <w:lang w:eastAsia="en-CA"/>
          <w14:ligatures w14:val="standardContextual"/>
        </w:rPr>
      </w:pPr>
      <w:hyperlink w:anchor="_Toc154068768" w:history="1">
        <w:r w:rsidRPr="00393B4F">
          <w:rPr>
            <w:rStyle w:val="Hyperlink"/>
            <w:noProof/>
          </w:rPr>
          <w:t>4.9.2</w:t>
        </w:r>
        <w:r>
          <w:rPr>
            <w:rFonts w:eastAsiaTheme="minorEastAsia" w:cstheme="minorBidi"/>
            <w:noProof/>
            <w:color w:val="auto"/>
            <w:kern w:val="2"/>
            <w:sz w:val="22"/>
            <w:szCs w:val="22"/>
            <w:lang w:eastAsia="en-CA"/>
            <w14:ligatures w14:val="standardContextual"/>
          </w:rPr>
          <w:tab/>
        </w:r>
        <w:r w:rsidRPr="00393B4F">
          <w:rPr>
            <w:rStyle w:val="Hyperlink"/>
            <w:noProof/>
          </w:rPr>
          <w:t>Reduction for Uncommitted Excess Capacity</w:t>
        </w:r>
        <w:r>
          <w:rPr>
            <w:noProof/>
            <w:webHidden/>
          </w:rPr>
          <w:tab/>
        </w:r>
        <w:r>
          <w:rPr>
            <w:noProof/>
            <w:webHidden/>
          </w:rPr>
          <w:fldChar w:fldCharType="begin"/>
        </w:r>
        <w:r>
          <w:rPr>
            <w:noProof/>
            <w:webHidden/>
          </w:rPr>
          <w:instrText xml:space="preserve"> PAGEREF _Toc154068768 \h </w:instrText>
        </w:r>
        <w:r>
          <w:rPr>
            <w:noProof/>
            <w:webHidden/>
          </w:rPr>
        </w:r>
        <w:r>
          <w:rPr>
            <w:noProof/>
            <w:webHidden/>
          </w:rPr>
          <w:fldChar w:fldCharType="separate"/>
        </w:r>
        <w:r w:rsidR="00504826">
          <w:rPr>
            <w:noProof/>
            <w:webHidden/>
          </w:rPr>
          <w:t>4-12</w:t>
        </w:r>
        <w:r>
          <w:rPr>
            <w:noProof/>
            <w:webHidden/>
          </w:rPr>
          <w:fldChar w:fldCharType="end"/>
        </w:r>
      </w:hyperlink>
    </w:p>
    <w:p w14:paraId="4BEE77E3" w14:textId="0DF58FED" w:rsidR="007A4683" w:rsidRDefault="007A4683">
      <w:pPr>
        <w:pStyle w:val="TOC3"/>
        <w:rPr>
          <w:rFonts w:eastAsiaTheme="minorEastAsia" w:cstheme="minorBidi"/>
          <w:noProof/>
          <w:color w:val="auto"/>
          <w:kern w:val="2"/>
          <w:sz w:val="22"/>
          <w:szCs w:val="22"/>
          <w:lang w:eastAsia="en-CA"/>
          <w14:ligatures w14:val="standardContextual"/>
        </w:rPr>
      </w:pPr>
      <w:hyperlink w:anchor="_Toc154068769" w:history="1">
        <w:r w:rsidRPr="00393B4F">
          <w:rPr>
            <w:rStyle w:val="Hyperlink"/>
            <w:noProof/>
          </w:rPr>
          <w:t>4.9.3</w:t>
        </w:r>
        <w:r>
          <w:rPr>
            <w:rFonts w:eastAsiaTheme="minorEastAsia" w:cstheme="minorBidi"/>
            <w:noProof/>
            <w:color w:val="auto"/>
            <w:kern w:val="2"/>
            <w:sz w:val="22"/>
            <w:szCs w:val="22"/>
            <w:lang w:eastAsia="en-CA"/>
            <w14:ligatures w14:val="standardContextual"/>
          </w:rPr>
          <w:tab/>
        </w:r>
        <w:r w:rsidRPr="00393B4F">
          <w:rPr>
            <w:rStyle w:val="Hyperlink"/>
            <w:noProof/>
          </w:rPr>
          <w:t>Reduction for Benefit to Existing Development</w:t>
        </w:r>
        <w:r>
          <w:rPr>
            <w:noProof/>
            <w:webHidden/>
          </w:rPr>
          <w:tab/>
        </w:r>
        <w:r>
          <w:rPr>
            <w:noProof/>
            <w:webHidden/>
          </w:rPr>
          <w:fldChar w:fldCharType="begin"/>
        </w:r>
        <w:r>
          <w:rPr>
            <w:noProof/>
            <w:webHidden/>
          </w:rPr>
          <w:instrText xml:space="preserve"> PAGEREF _Toc154068769 \h </w:instrText>
        </w:r>
        <w:r>
          <w:rPr>
            <w:noProof/>
            <w:webHidden/>
          </w:rPr>
        </w:r>
        <w:r>
          <w:rPr>
            <w:noProof/>
            <w:webHidden/>
          </w:rPr>
          <w:fldChar w:fldCharType="separate"/>
        </w:r>
        <w:r w:rsidR="00504826">
          <w:rPr>
            <w:noProof/>
            <w:webHidden/>
          </w:rPr>
          <w:t>4-12</w:t>
        </w:r>
        <w:r>
          <w:rPr>
            <w:noProof/>
            <w:webHidden/>
          </w:rPr>
          <w:fldChar w:fldCharType="end"/>
        </w:r>
      </w:hyperlink>
    </w:p>
    <w:p w14:paraId="167A17A9" w14:textId="16EBC729" w:rsidR="007A4683" w:rsidRDefault="007A4683">
      <w:pPr>
        <w:pStyle w:val="TOC3"/>
        <w:rPr>
          <w:rFonts w:eastAsiaTheme="minorEastAsia" w:cstheme="minorBidi"/>
          <w:noProof/>
          <w:color w:val="auto"/>
          <w:kern w:val="2"/>
          <w:sz w:val="22"/>
          <w:szCs w:val="22"/>
          <w:lang w:eastAsia="en-CA"/>
          <w14:ligatures w14:val="standardContextual"/>
        </w:rPr>
      </w:pPr>
      <w:hyperlink w:anchor="_Toc154068770" w:history="1">
        <w:r w:rsidRPr="00393B4F">
          <w:rPr>
            <w:rStyle w:val="Hyperlink"/>
            <w:noProof/>
          </w:rPr>
          <w:t>4.9.4</w:t>
        </w:r>
        <w:r>
          <w:rPr>
            <w:rFonts w:eastAsiaTheme="minorEastAsia" w:cstheme="minorBidi"/>
            <w:noProof/>
            <w:color w:val="auto"/>
            <w:kern w:val="2"/>
            <w:sz w:val="22"/>
            <w:szCs w:val="22"/>
            <w:lang w:eastAsia="en-CA"/>
            <w14:ligatures w14:val="standardContextual"/>
          </w:rPr>
          <w:tab/>
        </w:r>
        <w:r w:rsidRPr="00393B4F">
          <w:rPr>
            <w:rStyle w:val="Hyperlink"/>
            <w:noProof/>
          </w:rPr>
          <w:t>Reduction for Anticipated Grants, Subsidies and Other Contributions</w:t>
        </w:r>
        <w:r>
          <w:rPr>
            <w:noProof/>
            <w:webHidden/>
          </w:rPr>
          <w:tab/>
        </w:r>
        <w:r>
          <w:rPr>
            <w:noProof/>
            <w:webHidden/>
          </w:rPr>
          <w:fldChar w:fldCharType="begin"/>
        </w:r>
        <w:r>
          <w:rPr>
            <w:noProof/>
            <w:webHidden/>
          </w:rPr>
          <w:instrText xml:space="preserve"> PAGEREF _Toc154068770 \h </w:instrText>
        </w:r>
        <w:r>
          <w:rPr>
            <w:noProof/>
            <w:webHidden/>
          </w:rPr>
        </w:r>
        <w:r>
          <w:rPr>
            <w:noProof/>
            <w:webHidden/>
          </w:rPr>
          <w:fldChar w:fldCharType="separate"/>
        </w:r>
        <w:r w:rsidR="00504826">
          <w:rPr>
            <w:noProof/>
            <w:webHidden/>
          </w:rPr>
          <w:t>4-14</w:t>
        </w:r>
        <w:r>
          <w:rPr>
            <w:noProof/>
            <w:webHidden/>
          </w:rPr>
          <w:fldChar w:fldCharType="end"/>
        </w:r>
      </w:hyperlink>
    </w:p>
    <w:p w14:paraId="64EA59DA" w14:textId="499D27B2"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71" w:history="1">
        <w:r w:rsidRPr="00393B4F">
          <w:rPr>
            <w:rStyle w:val="Hyperlink"/>
            <w:noProof/>
          </w:rPr>
          <w:t>4.10</w:t>
        </w:r>
        <w:r>
          <w:rPr>
            <w:rFonts w:eastAsiaTheme="minorEastAsia" w:cstheme="minorBidi"/>
            <w:iCs w:val="0"/>
            <w:noProof/>
            <w:color w:val="auto"/>
            <w:kern w:val="2"/>
            <w:sz w:val="22"/>
            <w:szCs w:val="22"/>
            <w:lang w:eastAsia="en-CA"/>
            <w14:ligatures w14:val="standardContextual"/>
          </w:rPr>
          <w:tab/>
        </w:r>
        <w:r w:rsidRPr="00393B4F">
          <w:rPr>
            <w:rStyle w:val="Hyperlink"/>
            <w:noProof/>
          </w:rPr>
          <w:t>Municipal-wide vs. Area Rating</w:t>
        </w:r>
        <w:r>
          <w:rPr>
            <w:noProof/>
            <w:webHidden/>
          </w:rPr>
          <w:tab/>
        </w:r>
        <w:r>
          <w:rPr>
            <w:noProof/>
            <w:webHidden/>
          </w:rPr>
          <w:fldChar w:fldCharType="begin"/>
        </w:r>
        <w:r>
          <w:rPr>
            <w:noProof/>
            <w:webHidden/>
          </w:rPr>
          <w:instrText xml:space="preserve"> PAGEREF _Toc154068771 \h </w:instrText>
        </w:r>
        <w:r>
          <w:rPr>
            <w:noProof/>
            <w:webHidden/>
          </w:rPr>
        </w:r>
        <w:r>
          <w:rPr>
            <w:noProof/>
            <w:webHidden/>
          </w:rPr>
          <w:fldChar w:fldCharType="separate"/>
        </w:r>
        <w:r w:rsidR="00504826">
          <w:rPr>
            <w:noProof/>
            <w:webHidden/>
          </w:rPr>
          <w:t>4-14</w:t>
        </w:r>
        <w:r>
          <w:rPr>
            <w:noProof/>
            <w:webHidden/>
          </w:rPr>
          <w:fldChar w:fldCharType="end"/>
        </w:r>
      </w:hyperlink>
    </w:p>
    <w:p w14:paraId="0D85E786" w14:textId="446E526E"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72" w:history="1">
        <w:r w:rsidRPr="00393B4F">
          <w:rPr>
            <w:rStyle w:val="Hyperlink"/>
            <w:noProof/>
          </w:rPr>
          <w:t>4.11</w:t>
        </w:r>
        <w:r>
          <w:rPr>
            <w:rFonts w:eastAsiaTheme="minorEastAsia" w:cstheme="minorBidi"/>
            <w:iCs w:val="0"/>
            <w:noProof/>
            <w:color w:val="auto"/>
            <w:kern w:val="2"/>
            <w:sz w:val="22"/>
            <w:szCs w:val="22"/>
            <w:lang w:eastAsia="en-CA"/>
            <w14:ligatures w14:val="standardContextual"/>
          </w:rPr>
          <w:tab/>
        </w:r>
        <w:r w:rsidRPr="00393B4F">
          <w:rPr>
            <w:rStyle w:val="Hyperlink"/>
            <w:noProof/>
          </w:rPr>
          <w:t>Allocation of Development</w:t>
        </w:r>
        <w:r>
          <w:rPr>
            <w:noProof/>
            <w:webHidden/>
          </w:rPr>
          <w:tab/>
        </w:r>
        <w:r>
          <w:rPr>
            <w:noProof/>
            <w:webHidden/>
          </w:rPr>
          <w:fldChar w:fldCharType="begin"/>
        </w:r>
        <w:r>
          <w:rPr>
            <w:noProof/>
            <w:webHidden/>
          </w:rPr>
          <w:instrText xml:space="preserve"> PAGEREF _Toc154068772 \h </w:instrText>
        </w:r>
        <w:r>
          <w:rPr>
            <w:noProof/>
            <w:webHidden/>
          </w:rPr>
        </w:r>
        <w:r>
          <w:rPr>
            <w:noProof/>
            <w:webHidden/>
          </w:rPr>
          <w:fldChar w:fldCharType="separate"/>
        </w:r>
        <w:r w:rsidR="00504826">
          <w:rPr>
            <w:noProof/>
            <w:webHidden/>
          </w:rPr>
          <w:t>4-14</w:t>
        </w:r>
        <w:r>
          <w:rPr>
            <w:noProof/>
            <w:webHidden/>
          </w:rPr>
          <w:fldChar w:fldCharType="end"/>
        </w:r>
      </w:hyperlink>
    </w:p>
    <w:p w14:paraId="650FC5A9" w14:textId="27A8AF08"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73" w:history="1">
        <w:r w:rsidRPr="00393B4F">
          <w:rPr>
            <w:rStyle w:val="Hyperlink"/>
            <w:noProof/>
          </w:rPr>
          <w:t>4.12</w:t>
        </w:r>
        <w:r>
          <w:rPr>
            <w:rFonts w:eastAsiaTheme="minorEastAsia" w:cstheme="minorBidi"/>
            <w:iCs w:val="0"/>
            <w:noProof/>
            <w:color w:val="auto"/>
            <w:kern w:val="2"/>
            <w:sz w:val="22"/>
            <w:szCs w:val="22"/>
            <w:lang w:eastAsia="en-CA"/>
            <w14:ligatures w14:val="standardContextual"/>
          </w:rPr>
          <w:tab/>
        </w:r>
        <w:r w:rsidRPr="00393B4F">
          <w:rPr>
            <w:rStyle w:val="Hyperlink"/>
            <w:noProof/>
          </w:rPr>
          <w:t>Asset Management</w:t>
        </w:r>
        <w:r>
          <w:rPr>
            <w:noProof/>
            <w:webHidden/>
          </w:rPr>
          <w:tab/>
        </w:r>
        <w:r>
          <w:rPr>
            <w:noProof/>
            <w:webHidden/>
          </w:rPr>
          <w:fldChar w:fldCharType="begin"/>
        </w:r>
        <w:r>
          <w:rPr>
            <w:noProof/>
            <w:webHidden/>
          </w:rPr>
          <w:instrText xml:space="preserve"> PAGEREF _Toc154068773 \h </w:instrText>
        </w:r>
        <w:r>
          <w:rPr>
            <w:noProof/>
            <w:webHidden/>
          </w:rPr>
        </w:r>
        <w:r>
          <w:rPr>
            <w:noProof/>
            <w:webHidden/>
          </w:rPr>
          <w:fldChar w:fldCharType="separate"/>
        </w:r>
        <w:r w:rsidR="00504826">
          <w:rPr>
            <w:noProof/>
            <w:webHidden/>
          </w:rPr>
          <w:t>4-14</w:t>
        </w:r>
        <w:r>
          <w:rPr>
            <w:noProof/>
            <w:webHidden/>
          </w:rPr>
          <w:fldChar w:fldCharType="end"/>
        </w:r>
      </w:hyperlink>
    </w:p>
    <w:p w14:paraId="291ED743" w14:textId="3DB3ED7B"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74" w:history="1">
        <w:r w:rsidRPr="00393B4F">
          <w:rPr>
            <w:rStyle w:val="Hyperlink"/>
            <w:noProof/>
          </w:rPr>
          <w:t>4.13</w:t>
        </w:r>
        <w:r>
          <w:rPr>
            <w:rFonts w:eastAsiaTheme="minorEastAsia" w:cstheme="minorBidi"/>
            <w:iCs w:val="0"/>
            <w:noProof/>
            <w:color w:val="auto"/>
            <w:kern w:val="2"/>
            <w:sz w:val="22"/>
            <w:szCs w:val="22"/>
            <w:lang w:eastAsia="en-CA"/>
            <w14:ligatures w14:val="standardContextual"/>
          </w:rPr>
          <w:tab/>
        </w:r>
        <w:r w:rsidRPr="00393B4F">
          <w:rPr>
            <w:rStyle w:val="Hyperlink"/>
            <w:noProof/>
          </w:rPr>
          <w:t>Transit</w:t>
        </w:r>
        <w:r>
          <w:rPr>
            <w:noProof/>
            <w:webHidden/>
          </w:rPr>
          <w:tab/>
        </w:r>
        <w:r>
          <w:rPr>
            <w:noProof/>
            <w:webHidden/>
          </w:rPr>
          <w:fldChar w:fldCharType="begin"/>
        </w:r>
        <w:r>
          <w:rPr>
            <w:noProof/>
            <w:webHidden/>
          </w:rPr>
          <w:instrText xml:space="preserve"> PAGEREF _Toc154068774 \h </w:instrText>
        </w:r>
        <w:r>
          <w:rPr>
            <w:noProof/>
            <w:webHidden/>
          </w:rPr>
        </w:r>
        <w:r>
          <w:rPr>
            <w:noProof/>
            <w:webHidden/>
          </w:rPr>
          <w:fldChar w:fldCharType="separate"/>
        </w:r>
        <w:r w:rsidR="00504826">
          <w:rPr>
            <w:noProof/>
            <w:webHidden/>
          </w:rPr>
          <w:t>4-15</w:t>
        </w:r>
        <w:r>
          <w:rPr>
            <w:noProof/>
            <w:webHidden/>
          </w:rPr>
          <w:fldChar w:fldCharType="end"/>
        </w:r>
      </w:hyperlink>
    </w:p>
    <w:p w14:paraId="1F34EA47" w14:textId="339A784E"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75" w:history="1">
        <w:r w:rsidRPr="00393B4F">
          <w:rPr>
            <w:rStyle w:val="Hyperlink"/>
            <w:noProof/>
          </w:rPr>
          <w:t>4.14</w:t>
        </w:r>
        <w:r>
          <w:rPr>
            <w:rFonts w:eastAsiaTheme="minorEastAsia" w:cstheme="minorBidi"/>
            <w:iCs w:val="0"/>
            <w:noProof/>
            <w:color w:val="auto"/>
            <w:kern w:val="2"/>
            <w:sz w:val="22"/>
            <w:szCs w:val="22"/>
            <w:lang w:eastAsia="en-CA"/>
            <w14:ligatures w14:val="standardContextual"/>
          </w:rPr>
          <w:tab/>
        </w:r>
        <w:r w:rsidRPr="00393B4F">
          <w:rPr>
            <w:rStyle w:val="Hyperlink"/>
            <w:noProof/>
          </w:rPr>
          <w:t>Mandatory Phase-in of a D.C.</w:t>
        </w:r>
        <w:r>
          <w:rPr>
            <w:noProof/>
            <w:webHidden/>
          </w:rPr>
          <w:tab/>
        </w:r>
        <w:r>
          <w:rPr>
            <w:noProof/>
            <w:webHidden/>
          </w:rPr>
          <w:fldChar w:fldCharType="begin"/>
        </w:r>
        <w:r>
          <w:rPr>
            <w:noProof/>
            <w:webHidden/>
          </w:rPr>
          <w:instrText xml:space="preserve"> PAGEREF _Toc154068775 \h </w:instrText>
        </w:r>
        <w:r>
          <w:rPr>
            <w:noProof/>
            <w:webHidden/>
          </w:rPr>
        </w:r>
        <w:r>
          <w:rPr>
            <w:noProof/>
            <w:webHidden/>
          </w:rPr>
          <w:fldChar w:fldCharType="separate"/>
        </w:r>
        <w:r w:rsidR="00504826">
          <w:rPr>
            <w:noProof/>
            <w:webHidden/>
          </w:rPr>
          <w:t>4-16</w:t>
        </w:r>
        <w:r>
          <w:rPr>
            <w:noProof/>
            <w:webHidden/>
          </w:rPr>
          <w:fldChar w:fldCharType="end"/>
        </w:r>
      </w:hyperlink>
    </w:p>
    <w:p w14:paraId="4C0C5D77" w14:textId="2AD9125F" w:rsidR="007A4683" w:rsidRDefault="007A4683">
      <w:pPr>
        <w:pStyle w:val="TOC1"/>
        <w:rPr>
          <w:rFonts w:eastAsiaTheme="minorEastAsia" w:cstheme="minorBidi"/>
          <w:b w:val="0"/>
          <w:bCs w:val="0"/>
          <w:noProof/>
          <w:color w:val="auto"/>
          <w:kern w:val="2"/>
          <w:sz w:val="22"/>
          <w:szCs w:val="22"/>
          <w:lang w:eastAsia="en-CA"/>
          <w14:ligatures w14:val="standardContextual"/>
        </w:rPr>
      </w:pPr>
      <w:hyperlink w:anchor="_Toc154068776" w:history="1">
        <w:r w:rsidRPr="00393B4F">
          <w:rPr>
            <w:rStyle w:val="Hyperlink"/>
            <w:noProof/>
          </w:rPr>
          <w:t>5.</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D.C.-Eligible Cost Analysis by Service</w:t>
        </w:r>
        <w:r>
          <w:rPr>
            <w:noProof/>
            <w:webHidden/>
          </w:rPr>
          <w:tab/>
        </w:r>
        <w:r>
          <w:rPr>
            <w:noProof/>
            <w:webHidden/>
          </w:rPr>
          <w:fldChar w:fldCharType="begin"/>
        </w:r>
        <w:r>
          <w:rPr>
            <w:noProof/>
            <w:webHidden/>
          </w:rPr>
          <w:instrText xml:space="preserve"> PAGEREF _Toc154068776 \h </w:instrText>
        </w:r>
        <w:r>
          <w:rPr>
            <w:noProof/>
            <w:webHidden/>
          </w:rPr>
        </w:r>
        <w:r>
          <w:rPr>
            <w:noProof/>
            <w:webHidden/>
          </w:rPr>
          <w:fldChar w:fldCharType="separate"/>
        </w:r>
        <w:r w:rsidR="00504826">
          <w:rPr>
            <w:noProof/>
            <w:webHidden/>
          </w:rPr>
          <w:t>5-1</w:t>
        </w:r>
        <w:r>
          <w:rPr>
            <w:noProof/>
            <w:webHidden/>
          </w:rPr>
          <w:fldChar w:fldCharType="end"/>
        </w:r>
      </w:hyperlink>
    </w:p>
    <w:p w14:paraId="116A7680" w14:textId="4B144F37"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77" w:history="1">
        <w:r w:rsidRPr="00393B4F">
          <w:rPr>
            <w:rStyle w:val="Hyperlink"/>
            <w:smallCaps/>
            <w:noProof/>
          </w:rPr>
          <w:t>5.1</w:t>
        </w:r>
        <w:r>
          <w:rPr>
            <w:rFonts w:eastAsiaTheme="minorEastAsia" w:cstheme="minorBidi"/>
            <w:iCs w:val="0"/>
            <w:noProof/>
            <w:color w:val="auto"/>
            <w:kern w:val="2"/>
            <w:sz w:val="22"/>
            <w:szCs w:val="22"/>
            <w:lang w:eastAsia="en-CA"/>
            <w14:ligatures w14:val="standardContextual"/>
          </w:rPr>
          <w:tab/>
        </w:r>
        <w:r w:rsidRPr="00393B4F">
          <w:rPr>
            <w:rStyle w:val="Hyperlink"/>
            <w:noProof/>
          </w:rPr>
          <w:t>Introduction</w:t>
        </w:r>
        <w:r>
          <w:rPr>
            <w:noProof/>
            <w:webHidden/>
          </w:rPr>
          <w:tab/>
        </w:r>
        <w:r>
          <w:rPr>
            <w:noProof/>
            <w:webHidden/>
          </w:rPr>
          <w:fldChar w:fldCharType="begin"/>
        </w:r>
        <w:r>
          <w:rPr>
            <w:noProof/>
            <w:webHidden/>
          </w:rPr>
          <w:instrText xml:space="preserve"> PAGEREF _Toc154068777 \h </w:instrText>
        </w:r>
        <w:r>
          <w:rPr>
            <w:noProof/>
            <w:webHidden/>
          </w:rPr>
        </w:r>
        <w:r>
          <w:rPr>
            <w:noProof/>
            <w:webHidden/>
          </w:rPr>
          <w:fldChar w:fldCharType="separate"/>
        </w:r>
        <w:r w:rsidR="00504826">
          <w:rPr>
            <w:noProof/>
            <w:webHidden/>
          </w:rPr>
          <w:t>5-1</w:t>
        </w:r>
        <w:r>
          <w:rPr>
            <w:noProof/>
            <w:webHidden/>
          </w:rPr>
          <w:fldChar w:fldCharType="end"/>
        </w:r>
      </w:hyperlink>
    </w:p>
    <w:p w14:paraId="3C50BEED" w14:textId="771719DA"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78" w:history="1">
        <w:r w:rsidRPr="00393B4F">
          <w:rPr>
            <w:rStyle w:val="Hyperlink"/>
            <w:smallCaps/>
            <w:noProof/>
          </w:rPr>
          <w:t>5.2</w:t>
        </w:r>
        <w:r>
          <w:rPr>
            <w:rFonts w:eastAsiaTheme="minorEastAsia" w:cstheme="minorBidi"/>
            <w:iCs w:val="0"/>
            <w:noProof/>
            <w:color w:val="auto"/>
            <w:kern w:val="2"/>
            <w:sz w:val="22"/>
            <w:szCs w:val="22"/>
            <w:lang w:eastAsia="en-CA"/>
            <w14:ligatures w14:val="standardContextual"/>
          </w:rPr>
          <w:tab/>
        </w:r>
        <w:r w:rsidRPr="00393B4F">
          <w:rPr>
            <w:rStyle w:val="Hyperlink"/>
            <w:noProof/>
          </w:rPr>
          <w:t>Service Levels and 10-Year Capital Costs for D.C. Calculation</w:t>
        </w:r>
        <w:r>
          <w:rPr>
            <w:noProof/>
            <w:webHidden/>
          </w:rPr>
          <w:tab/>
        </w:r>
        <w:r>
          <w:rPr>
            <w:noProof/>
            <w:webHidden/>
          </w:rPr>
          <w:fldChar w:fldCharType="begin"/>
        </w:r>
        <w:r>
          <w:rPr>
            <w:noProof/>
            <w:webHidden/>
          </w:rPr>
          <w:instrText xml:space="preserve"> PAGEREF _Toc154068778 \h </w:instrText>
        </w:r>
        <w:r>
          <w:rPr>
            <w:noProof/>
            <w:webHidden/>
          </w:rPr>
        </w:r>
        <w:r>
          <w:rPr>
            <w:noProof/>
            <w:webHidden/>
          </w:rPr>
          <w:fldChar w:fldCharType="separate"/>
        </w:r>
        <w:r w:rsidR="00504826">
          <w:rPr>
            <w:noProof/>
            <w:webHidden/>
          </w:rPr>
          <w:t>5-1</w:t>
        </w:r>
        <w:r>
          <w:rPr>
            <w:noProof/>
            <w:webHidden/>
          </w:rPr>
          <w:fldChar w:fldCharType="end"/>
        </w:r>
      </w:hyperlink>
    </w:p>
    <w:p w14:paraId="00B96D4F" w14:textId="77621E29" w:rsidR="007A4683" w:rsidRDefault="007A4683">
      <w:pPr>
        <w:pStyle w:val="TOC3"/>
        <w:rPr>
          <w:rFonts w:eastAsiaTheme="minorEastAsia" w:cstheme="minorBidi"/>
          <w:noProof/>
          <w:color w:val="auto"/>
          <w:kern w:val="2"/>
          <w:sz w:val="22"/>
          <w:szCs w:val="22"/>
          <w:lang w:eastAsia="en-CA"/>
          <w14:ligatures w14:val="standardContextual"/>
        </w:rPr>
      </w:pPr>
      <w:hyperlink w:anchor="_Toc154068779" w:history="1">
        <w:r w:rsidRPr="00393B4F">
          <w:rPr>
            <w:rStyle w:val="Hyperlink"/>
            <w:noProof/>
          </w:rPr>
          <w:t>5.2.1</w:t>
        </w:r>
        <w:r>
          <w:rPr>
            <w:rFonts w:eastAsiaTheme="minorEastAsia" w:cstheme="minorBidi"/>
            <w:noProof/>
            <w:color w:val="auto"/>
            <w:kern w:val="2"/>
            <w:sz w:val="22"/>
            <w:szCs w:val="22"/>
            <w:lang w:eastAsia="en-CA"/>
            <w14:ligatures w14:val="standardContextual"/>
          </w:rPr>
          <w:tab/>
        </w:r>
        <w:r w:rsidRPr="00393B4F">
          <w:rPr>
            <w:rStyle w:val="Hyperlink"/>
            <w:noProof/>
          </w:rPr>
          <w:t>Services Related to a Highway</w:t>
        </w:r>
        <w:r>
          <w:rPr>
            <w:noProof/>
            <w:webHidden/>
          </w:rPr>
          <w:tab/>
        </w:r>
        <w:r>
          <w:rPr>
            <w:noProof/>
            <w:webHidden/>
          </w:rPr>
          <w:fldChar w:fldCharType="begin"/>
        </w:r>
        <w:r>
          <w:rPr>
            <w:noProof/>
            <w:webHidden/>
          </w:rPr>
          <w:instrText xml:space="preserve"> PAGEREF _Toc154068779 \h </w:instrText>
        </w:r>
        <w:r>
          <w:rPr>
            <w:noProof/>
            <w:webHidden/>
          </w:rPr>
        </w:r>
        <w:r>
          <w:rPr>
            <w:noProof/>
            <w:webHidden/>
          </w:rPr>
          <w:fldChar w:fldCharType="separate"/>
        </w:r>
        <w:r w:rsidR="00504826">
          <w:rPr>
            <w:noProof/>
            <w:webHidden/>
          </w:rPr>
          <w:t>5-1</w:t>
        </w:r>
        <w:r>
          <w:rPr>
            <w:noProof/>
            <w:webHidden/>
          </w:rPr>
          <w:fldChar w:fldCharType="end"/>
        </w:r>
      </w:hyperlink>
    </w:p>
    <w:p w14:paraId="64A30FB1" w14:textId="567BF236" w:rsidR="007A4683" w:rsidRDefault="007A4683">
      <w:pPr>
        <w:pStyle w:val="TOC3"/>
        <w:rPr>
          <w:rFonts w:eastAsiaTheme="minorEastAsia" w:cstheme="minorBidi"/>
          <w:noProof/>
          <w:color w:val="auto"/>
          <w:kern w:val="2"/>
          <w:sz w:val="22"/>
          <w:szCs w:val="22"/>
          <w:lang w:eastAsia="en-CA"/>
          <w14:ligatures w14:val="standardContextual"/>
        </w:rPr>
      </w:pPr>
      <w:hyperlink w:anchor="_Toc154068780" w:history="1">
        <w:r w:rsidRPr="00393B4F">
          <w:rPr>
            <w:rStyle w:val="Hyperlink"/>
            <w:noProof/>
          </w:rPr>
          <w:t>5.2.2</w:t>
        </w:r>
        <w:r>
          <w:rPr>
            <w:rFonts w:eastAsiaTheme="minorEastAsia" w:cstheme="minorBidi"/>
            <w:noProof/>
            <w:color w:val="auto"/>
            <w:kern w:val="2"/>
            <w:sz w:val="22"/>
            <w:szCs w:val="22"/>
            <w:lang w:eastAsia="en-CA"/>
            <w14:ligatures w14:val="standardContextual"/>
          </w:rPr>
          <w:tab/>
        </w:r>
        <w:r w:rsidRPr="00393B4F">
          <w:rPr>
            <w:rStyle w:val="Hyperlink"/>
            <w:noProof/>
          </w:rPr>
          <w:t>Public Works Facilities, Fleet and Equipment</w:t>
        </w:r>
        <w:r>
          <w:rPr>
            <w:noProof/>
            <w:webHidden/>
          </w:rPr>
          <w:tab/>
        </w:r>
        <w:r>
          <w:rPr>
            <w:noProof/>
            <w:webHidden/>
          </w:rPr>
          <w:fldChar w:fldCharType="begin"/>
        </w:r>
        <w:r>
          <w:rPr>
            <w:noProof/>
            <w:webHidden/>
          </w:rPr>
          <w:instrText xml:space="preserve"> PAGEREF _Toc154068780 \h </w:instrText>
        </w:r>
        <w:r>
          <w:rPr>
            <w:noProof/>
            <w:webHidden/>
          </w:rPr>
        </w:r>
        <w:r>
          <w:rPr>
            <w:noProof/>
            <w:webHidden/>
          </w:rPr>
          <w:fldChar w:fldCharType="separate"/>
        </w:r>
        <w:r w:rsidR="00504826">
          <w:rPr>
            <w:noProof/>
            <w:webHidden/>
          </w:rPr>
          <w:t>5-5</w:t>
        </w:r>
        <w:r>
          <w:rPr>
            <w:noProof/>
            <w:webHidden/>
          </w:rPr>
          <w:fldChar w:fldCharType="end"/>
        </w:r>
      </w:hyperlink>
    </w:p>
    <w:p w14:paraId="5E9DE8A5" w14:textId="04A6073D" w:rsidR="007A4683" w:rsidRDefault="007A4683">
      <w:pPr>
        <w:pStyle w:val="TOC3"/>
        <w:rPr>
          <w:rFonts w:eastAsiaTheme="minorEastAsia" w:cstheme="minorBidi"/>
          <w:noProof/>
          <w:color w:val="auto"/>
          <w:kern w:val="2"/>
          <w:sz w:val="22"/>
          <w:szCs w:val="22"/>
          <w:lang w:eastAsia="en-CA"/>
          <w14:ligatures w14:val="standardContextual"/>
        </w:rPr>
      </w:pPr>
      <w:hyperlink w:anchor="_Toc154068781" w:history="1">
        <w:r w:rsidRPr="00393B4F">
          <w:rPr>
            <w:rStyle w:val="Hyperlink"/>
            <w:noProof/>
          </w:rPr>
          <w:t>5.2.3</w:t>
        </w:r>
        <w:r>
          <w:rPr>
            <w:rFonts w:eastAsiaTheme="minorEastAsia" w:cstheme="minorBidi"/>
            <w:noProof/>
            <w:color w:val="auto"/>
            <w:kern w:val="2"/>
            <w:sz w:val="22"/>
            <w:szCs w:val="22"/>
            <w:lang w:eastAsia="en-CA"/>
            <w14:ligatures w14:val="standardContextual"/>
          </w:rPr>
          <w:tab/>
        </w:r>
        <w:r w:rsidRPr="00393B4F">
          <w:rPr>
            <w:rStyle w:val="Hyperlink"/>
            <w:noProof/>
          </w:rPr>
          <w:t>Fire Protection Services</w:t>
        </w:r>
        <w:r>
          <w:rPr>
            <w:noProof/>
            <w:webHidden/>
          </w:rPr>
          <w:tab/>
        </w:r>
        <w:r>
          <w:rPr>
            <w:noProof/>
            <w:webHidden/>
          </w:rPr>
          <w:fldChar w:fldCharType="begin"/>
        </w:r>
        <w:r>
          <w:rPr>
            <w:noProof/>
            <w:webHidden/>
          </w:rPr>
          <w:instrText xml:space="preserve"> PAGEREF _Toc154068781 \h </w:instrText>
        </w:r>
        <w:r>
          <w:rPr>
            <w:noProof/>
            <w:webHidden/>
          </w:rPr>
        </w:r>
        <w:r>
          <w:rPr>
            <w:noProof/>
            <w:webHidden/>
          </w:rPr>
          <w:fldChar w:fldCharType="separate"/>
        </w:r>
        <w:r w:rsidR="00504826">
          <w:rPr>
            <w:noProof/>
            <w:webHidden/>
          </w:rPr>
          <w:t>5-8</w:t>
        </w:r>
        <w:r>
          <w:rPr>
            <w:noProof/>
            <w:webHidden/>
          </w:rPr>
          <w:fldChar w:fldCharType="end"/>
        </w:r>
      </w:hyperlink>
    </w:p>
    <w:p w14:paraId="6AF2E418" w14:textId="24B27FCD" w:rsidR="007A4683" w:rsidRDefault="007A4683">
      <w:pPr>
        <w:pStyle w:val="TOC3"/>
        <w:rPr>
          <w:rFonts w:eastAsiaTheme="minorEastAsia" w:cstheme="minorBidi"/>
          <w:noProof/>
          <w:color w:val="auto"/>
          <w:kern w:val="2"/>
          <w:sz w:val="22"/>
          <w:szCs w:val="22"/>
          <w:lang w:eastAsia="en-CA"/>
          <w14:ligatures w14:val="standardContextual"/>
        </w:rPr>
      </w:pPr>
      <w:hyperlink w:anchor="_Toc154068782" w:history="1">
        <w:r w:rsidRPr="00393B4F">
          <w:rPr>
            <w:rStyle w:val="Hyperlink"/>
            <w:noProof/>
          </w:rPr>
          <w:t>5.2.4</w:t>
        </w:r>
        <w:r>
          <w:rPr>
            <w:rFonts w:eastAsiaTheme="minorEastAsia" w:cstheme="minorBidi"/>
            <w:noProof/>
            <w:color w:val="auto"/>
            <w:kern w:val="2"/>
            <w:sz w:val="22"/>
            <w:szCs w:val="22"/>
            <w:lang w:eastAsia="en-CA"/>
            <w14:ligatures w14:val="standardContextual"/>
          </w:rPr>
          <w:tab/>
        </w:r>
        <w:r w:rsidRPr="00393B4F">
          <w:rPr>
            <w:rStyle w:val="Hyperlink"/>
            <w:noProof/>
          </w:rPr>
          <w:t>Parks and Recreation Services</w:t>
        </w:r>
        <w:r>
          <w:rPr>
            <w:noProof/>
            <w:webHidden/>
          </w:rPr>
          <w:tab/>
        </w:r>
        <w:r>
          <w:rPr>
            <w:noProof/>
            <w:webHidden/>
          </w:rPr>
          <w:fldChar w:fldCharType="begin"/>
        </w:r>
        <w:r>
          <w:rPr>
            <w:noProof/>
            <w:webHidden/>
          </w:rPr>
          <w:instrText xml:space="preserve"> PAGEREF _Toc154068782 \h </w:instrText>
        </w:r>
        <w:r>
          <w:rPr>
            <w:noProof/>
            <w:webHidden/>
          </w:rPr>
        </w:r>
        <w:r>
          <w:rPr>
            <w:noProof/>
            <w:webHidden/>
          </w:rPr>
          <w:fldChar w:fldCharType="separate"/>
        </w:r>
        <w:r w:rsidR="00504826">
          <w:rPr>
            <w:noProof/>
            <w:webHidden/>
          </w:rPr>
          <w:t>5-11</w:t>
        </w:r>
        <w:r>
          <w:rPr>
            <w:noProof/>
            <w:webHidden/>
          </w:rPr>
          <w:fldChar w:fldCharType="end"/>
        </w:r>
      </w:hyperlink>
    </w:p>
    <w:p w14:paraId="03256AFA" w14:textId="459C481F" w:rsidR="007A4683" w:rsidRDefault="007A4683">
      <w:pPr>
        <w:pStyle w:val="TOC3"/>
        <w:rPr>
          <w:rFonts w:eastAsiaTheme="minorEastAsia" w:cstheme="minorBidi"/>
          <w:noProof/>
          <w:color w:val="auto"/>
          <w:kern w:val="2"/>
          <w:sz w:val="22"/>
          <w:szCs w:val="22"/>
          <w:lang w:eastAsia="en-CA"/>
          <w14:ligatures w14:val="standardContextual"/>
        </w:rPr>
      </w:pPr>
      <w:hyperlink w:anchor="_Toc154068783" w:history="1">
        <w:r w:rsidRPr="00393B4F">
          <w:rPr>
            <w:rStyle w:val="Hyperlink"/>
            <w:noProof/>
          </w:rPr>
          <w:t>5.2.5</w:t>
        </w:r>
        <w:r>
          <w:rPr>
            <w:rFonts w:eastAsiaTheme="minorEastAsia" w:cstheme="minorBidi"/>
            <w:noProof/>
            <w:color w:val="auto"/>
            <w:kern w:val="2"/>
            <w:sz w:val="22"/>
            <w:szCs w:val="22"/>
            <w:lang w:eastAsia="en-CA"/>
            <w14:ligatures w14:val="standardContextual"/>
          </w:rPr>
          <w:tab/>
        </w:r>
        <w:r w:rsidRPr="00393B4F">
          <w:rPr>
            <w:rStyle w:val="Hyperlink"/>
            <w:noProof/>
          </w:rPr>
          <w:t>Library Services</w:t>
        </w:r>
        <w:r>
          <w:rPr>
            <w:noProof/>
            <w:webHidden/>
          </w:rPr>
          <w:tab/>
        </w:r>
        <w:r>
          <w:rPr>
            <w:noProof/>
            <w:webHidden/>
          </w:rPr>
          <w:fldChar w:fldCharType="begin"/>
        </w:r>
        <w:r>
          <w:rPr>
            <w:noProof/>
            <w:webHidden/>
          </w:rPr>
          <w:instrText xml:space="preserve"> PAGEREF _Toc154068783 \h </w:instrText>
        </w:r>
        <w:r>
          <w:rPr>
            <w:noProof/>
            <w:webHidden/>
          </w:rPr>
        </w:r>
        <w:r>
          <w:rPr>
            <w:noProof/>
            <w:webHidden/>
          </w:rPr>
          <w:fldChar w:fldCharType="separate"/>
        </w:r>
        <w:r w:rsidR="00504826">
          <w:rPr>
            <w:noProof/>
            <w:webHidden/>
          </w:rPr>
          <w:t>5-15</w:t>
        </w:r>
        <w:r>
          <w:rPr>
            <w:noProof/>
            <w:webHidden/>
          </w:rPr>
          <w:fldChar w:fldCharType="end"/>
        </w:r>
      </w:hyperlink>
    </w:p>
    <w:p w14:paraId="4D85AED8" w14:textId="49256D7F"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84" w:history="1">
        <w:r w:rsidRPr="00393B4F">
          <w:rPr>
            <w:rStyle w:val="Hyperlink"/>
            <w:noProof/>
          </w:rPr>
          <w:t>5.3</w:t>
        </w:r>
        <w:r>
          <w:rPr>
            <w:rFonts w:eastAsiaTheme="minorEastAsia" w:cstheme="minorBidi"/>
            <w:iCs w:val="0"/>
            <w:noProof/>
            <w:color w:val="auto"/>
            <w:kern w:val="2"/>
            <w:sz w:val="22"/>
            <w:szCs w:val="22"/>
            <w:lang w:eastAsia="en-CA"/>
            <w14:ligatures w14:val="standardContextual"/>
          </w:rPr>
          <w:tab/>
        </w:r>
        <w:r w:rsidRPr="00393B4F">
          <w:rPr>
            <w:rStyle w:val="Hyperlink"/>
            <w:noProof/>
          </w:rPr>
          <w:t>Service Levels and City-wide Urban 10-Year Capital Costs for Cambridge’s D.C. Calculation</w:t>
        </w:r>
        <w:r>
          <w:rPr>
            <w:noProof/>
            <w:webHidden/>
          </w:rPr>
          <w:tab/>
        </w:r>
        <w:r>
          <w:rPr>
            <w:noProof/>
            <w:webHidden/>
          </w:rPr>
          <w:fldChar w:fldCharType="begin"/>
        </w:r>
        <w:r>
          <w:rPr>
            <w:noProof/>
            <w:webHidden/>
          </w:rPr>
          <w:instrText xml:space="preserve"> PAGEREF _Toc154068784 \h </w:instrText>
        </w:r>
        <w:r>
          <w:rPr>
            <w:noProof/>
            <w:webHidden/>
          </w:rPr>
        </w:r>
        <w:r>
          <w:rPr>
            <w:noProof/>
            <w:webHidden/>
          </w:rPr>
          <w:fldChar w:fldCharType="separate"/>
        </w:r>
        <w:r w:rsidR="00504826">
          <w:rPr>
            <w:noProof/>
            <w:webHidden/>
          </w:rPr>
          <w:t>5-17</w:t>
        </w:r>
        <w:r>
          <w:rPr>
            <w:noProof/>
            <w:webHidden/>
          </w:rPr>
          <w:fldChar w:fldCharType="end"/>
        </w:r>
      </w:hyperlink>
    </w:p>
    <w:p w14:paraId="1C916CE4" w14:textId="16923D44" w:rsidR="007A4683" w:rsidRDefault="007A4683">
      <w:pPr>
        <w:pStyle w:val="TOC3"/>
        <w:rPr>
          <w:rFonts w:eastAsiaTheme="minorEastAsia" w:cstheme="minorBidi"/>
          <w:noProof/>
          <w:color w:val="auto"/>
          <w:kern w:val="2"/>
          <w:sz w:val="22"/>
          <w:szCs w:val="22"/>
          <w:lang w:eastAsia="en-CA"/>
          <w14:ligatures w14:val="standardContextual"/>
        </w:rPr>
      </w:pPr>
      <w:hyperlink w:anchor="_Toc154068785" w:history="1">
        <w:r w:rsidRPr="00393B4F">
          <w:rPr>
            <w:rStyle w:val="Hyperlink"/>
            <w:noProof/>
          </w:rPr>
          <w:t>5.3.1</w:t>
        </w:r>
        <w:r>
          <w:rPr>
            <w:rFonts w:eastAsiaTheme="minorEastAsia" w:cstheme="minorBidi"/>
            <w:noProof/>
            <w:color w:val="auto"/>
            <w:kern w:val="2"/>
            <w:sz w:val="22"/>
            <w:szCs w:val="22"/>
            <w:lang w:eastAsia="en-CA"/>
            <w14:ligatures w14:val="standardContextual"/>
          </w:rPr>
          <w:tab/>
        </w:r>
        <w:r w:rsidRPr="00393B4F">
          <w:rPr>
            <w:rStyle w:val="Hyperlink"/>
            <w:noProof/>
          </w:rPr>
          <w:t>Water Services</w:t>
        </w:r>
        <w:r>
          <w:rPr>
            <w:noProof/>
            <w:webHidden/>
          </w:rPr>
          <w:tab/>
        </w:r>
        <w:r>
          <w:rPr>
            <w:noProof/>
            <w:webHidden/>
          </w:rPr>
          <w:fldChar w:fldCharType="begin"/>
        </w:r>
        <w:r>
          <w:rPr>
            <w:noProof/>
            <w:webHidden/>
          </w:rPr>
          <w:instrText xml:space="preserve"> PAGEREF _Toc154068785 \h </w:instrText>
        </w:r>
        <w:r>
          <w:rPr>
            <w:noProof/>
            <w:webHidden/>
          </w:rPr>
        </w:r>
        <w:r>
          <w:rPr>
            <w:noProof/>
            <w:webHidden/>
          </w:rPr>
          <w:fldChar w:fldCharType="separate"/>
        </w:r>
        <w:r w:rsidR="00504826">
          <w:rPr>
            <w:noProof/>
            <w:webHidden/>
          </w:rPr>
          <w:t>5-17</w:t>
        </w:r>
        <w:r>
          <w:rPr>
            <w:noProof/>
            <w:webHidden/>
          </w:rPr>
          <w:fldChar w:fldCharType="end"/>
        </w:r>
      </w:hyperlink>
    </w:p>
    <w:p w14:paraId="120B17D6" w14:textId="0F2DC050" w:rsidR="007A4683" w:rsidRDefault="007A4683">
      <w:pPr>
        <w:pStyle w:val="TOC3"/>
        <w:rPr>
          <w:rFonts w:eastAsiaTheme="minorEastAsia" w:cstheme="minorBidi"/>
          <w:noProof/>
          <w:color w:val="auto"/>
          <w:kern w:val="2"/>
          <w:sz w:val="22"/>
          <w:szCs w:val="22"/>
          <w:lang w:eastAsia="en-CA"/>
          <w14:ligatures w14:val="standardContextual"/>
        </w:rPr>
      </w:pPr>
      <w:hyperlink w:anchor="_Toc154068786" w:history="1">
        <w:r w:rsidRPr="00393B4F">
          <w:rPr>
            <w:rStyle w:val="Hyperlink"/>
            <w:iCs/>
            <w:noProof/>
          </w:rPr>
          <w:t>5.3.2</w:t>
        </w:r>
        <w:r>
          <w:rPr>
            <w:rFonts w:eastAsiaTheme="minorEastAsia" w:cstheme="minorBidi"/>
            <w:noProof/>
            <w:color w:val="auto"/>
            <w:kern w:val="2"/>
            <w:sz w:val="22"/>
            <w:szCs w:val="22"/>
            <w:lang w:eastAsia="en-CA"/>
            <w14:ligatures w14:val="standardContextual"/>
          </w:rPr>
          <w:tab/>
        </w:r>
        <w:r w:rsidRPr="00393B4F">
          <w:rPr>
            <w:rStyle w:val="Hyperlink"/>
            <w:noProof/>
          </w:rPr>
          <w:t>Wastewater Services</w:t>
        </w:r>
        <w:r>
          <w:rPr>
            <w:noProof/>
            <w:webHidden/>
          </w:rPr>
          <w:tab/>
        </w:r>
        <w:r>
          <w:rPr>
            <w:noProof/>
            <w:webHidden/>
          </w:rPr>
          <w:fldChar w:fldCharType="begin"/>
        </w:r>
        <w:r>
          <w:rPr>
            <w:noProof/>
            <w:webHidden/>
          </w:rPr>
          <w:instrText xml:space="preserve"> PAGEREF _Toc154068786 \h </w:instrText>
        </w:r>
        <w:r>
          <w:rPr>
            <w:noProof/>
            <w:webHidden/>
          </w:rPr>
        </w:r>
        <w:r>
          <w:rPr>
            <w:noProof/>
            <w:webHidden/>
          </w:rPr>
          <w:fldChar w:fldCharType="separate"/>
        </w:r>
        <w:r w:rsidR="00504826">
          <w:rPr>
            <w:noProof/>
            <w:webHidden/>
          </w:rPr>
          <w:t>5-19</w:t>
        </w:r>
        <w:r>
          <w:rPr>
            <w:noProof/>
            <w:webHidden/>
          </w:rPr>
          <w:fldChar w:fldCharType="end"/>
        </w:r>
      </w:hyperlink>
    </w:p>
    <w:p w14:paraId="4E9E1846" w14:textId="0E3E8E50" w:rsidR="007A4683" w:rsidRDefault="007A4683">
      <w:pPr>
        <w:pStyle w:val="TOC3"/>
        <w:rPr>
          <w:rFonts w:eastAsiaTheme="minorEastAsia" w:cstheme="minorBidi"/>
          <w:noProof/>
          <w:color w:val="auto"/>
          <w:kern w:val="2"/>
          <w:sz w:val="22"/>
          <w:szCs w:val="22"/>
          <w:lang w:eastAsia="en-CA"/>
          <w14:ligatures w14:val="standardContextual"/>
        </w:rPr>
      </w:pPr>
      <w:hyperlink w:anchor="_Toc154068787" w:history="1">
        <w:r w:rsidRPr="00393B4F">
          <w:rPr>
            <w:rStyle w:val="Hyperlink"/>
            <w:noProof/>
          </w:rPr>
          <w:t>5.3.3</w:t>
        </w:r>
        <w:r>
          <w:rPr>
            <w:rFonts w:eastAsiaTheme="minorEastAsia" w:cstheme="minorBidi"/>
            <w:noProof/>
            <w:color w:val="auto"/>
            <w:kern w:val="2"/>
            <w:sz w:val="22"/>
            <w:szCs w:val="22"/>
            <w:lang w:eastAsia="en-CA"/>
            <w14:ligatures w14:val="standardContextual"/>
          </w:rPr>
          <w:tab/>
        </w:r>
        <w:r w:rsidRPr="00393B4F">
          <w:rPr>
            <w:rStyle w:val="Hyperlink"/>
            <w:noProof/>
          </w:rPr>
          <w:t>Stormwater Drainage and Control Services</w:t>
        </w:r>
        <w:r>
          <w:rPr>
            <w:noProof/>
            <w:webHidden/>
          </w:rPr>
          <w:tab/>
        </w:r>
        <w:r>
          <w:rPr>
            <w:noProof/>
            <w:webHidden/>
          </w:rPr>
          <w:fldChar w:fldCharType="begin"/>
        </w:r>
        <w:r>
          <w:rPr>
            <w:noProof/>
            <w:webHidden/>
          </w:rPr>
          <w:instrText xml:space="preserve"> PAGEREF _Toc154068787 \h </w:instrText>
        </w:r>
        <w:r>
          <w:rPr>
            <w:noProof/>
            <w:webHidden/>
          </w:rPr>
        </w:r>
        <w:r>
          <w:rPr>
            <w:noProof/>
            <w:webHidden/>
          </w:rPr>
          <w:fldChar w:fldCharType="separate"/>
        </w:r>
        <w:r w:rsidR="00504826">
          <w:rPr>
            <w:noProof/>
            <w:webHidden/>
          </w:rPr>
          <w:t>5-21</w:t>
        </w:r>
        <w:r>
          <w:rPr>
            <w:noProof/>
            <w:webHidden/>
          </w:rPr>
          <w:fldChar w:fldCharType="end"/>
        </w:r>
      </w:hyperlink>
    </w:p>
    <w:p w14:paraId="221623BA" w14:textId="6D130EF7" w:rsidR="007A4683" w:rsidRDefault="007A4683">
      <w:pPr>
        <w:pStyle w:val="TOC1"/>
        <w:rPr>
          <w:rFonts w:eastAsiaTheme="minorEastAsia" w:cstheme="minorBidi"/>
          <w:b w:val="0"/>
          <w:bCs w:val="0"/>
          <w:noProof/>
          <w:color w:val="auto"/>
          <w:kern w:val="2"/>
          <w:sz w:val="22"/>
          <w:szCs w:val="22"/>
          <w:lang w:eastAsia="en-CA"/>
          <w14:ligatures w14:val="standardContextual"/>
        </w:rPr>
      </w:pPr>
      <w:hyperlink w:anchor="_Toc154068788" w:history="1">
        <w:r w:rsidRPr="00393B4F">
          <w:rPr>
            <w:rStyle w:val="Hyperlink"/>
            <w:noProof/>
          </w:rPr>
          <w:t>6.</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D.C. Calculation</w:t>
        </w:r>
        <w:r>
          <w:rPr>
            <w:noProof/>
            <w:webHidden/>
          </w:rPr>
          <w:tab/>
        </w:r>
        <w:r>
          <w:rPr>
            <w:noProof/>
            <w:webHidden/>
          </w:rPr>
          <w:fldChar w:fldCharType="begin"/>
        </w:r>
        <w:r>
          <w:rPr>
            <w:noProof/>
            <w:webHidden/>
          </w:rPr>
          <w:instrText xml:space="preserve"> PAGEREF _Toc154068788 \h </w:instrText>
        </w:r>
        <w:r>
          <w:rPr>
            <w:noProof/>
            <w:webHidden/>
          </w:rPr>
        </w:r>
        <w:r>
          <w:rPr>
            <w:noProof/>
            <w:webHidden/>
          </w:rPr>
          <w:fldChar w:fldCharType="separate"/>
        </w:r>
        <w:r w:rsidR="00504826">
          <w:rPr>
            <w:noProof/>
            <w:webHidden/>
          </w:rPr>
          <w:t>6-1</w:t>
        </w:r>
        <w:r>
          <w:rPr>
            <w:noProof/>
            <w:webHidden/>
          </w:rPr>
          <w:fldChar w:fldCharType="end"/>
        </w:r>
      </w:hyperlink>
    </w:p>
    <w:p w14:paraId="4665586F" w14:textId="0FD79A79" w:rsidR="007A4683" w:rsidRDefault="007A4683">
      <w:pPr>
        <w:pStyle w:val="TOC1"/>
        <w:rPr>
          <w:rFonts w:eastAsiaTheme="minorEastAsia" w:cstheme="minorBidi"/>
          <w:b w:val="0"/>
          <w:bCs w:val="0"/>
          <w:noProof/>
          <w:color w:val="auto"/>
          <w:kern w:val="2"/>
          <w:sz w:val="22"/>
          <w:szCs w:val="22"/>
          <w:lang w:eastAsia="en-CA"/>
          <w14:ligatures w14:val="standardContextual"/>
        </w:rPr>
      </w:pPr>
      <w:hyperlink w:anchor="_Toc154068789" w:history="1">
        <w:r w:rsidRPr="00393B4F">
          <w:rPr>
            <w:rStyle w:val="Hyperlink"/>
            <w:noProof/>
          </w:rPr>
          <w:t>7.</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D.C. Policy Recommendations and D.C. By-law Rules</w:t>
        </w:r>
        <w:r>
          <w:rPr>
            <w:noProof/>
            <w:webHidden/>
          </w:rPr>
          <w:tab/>
        </w:r>
        <w:r>
          <w:rPr>
            <w:noProof/>
            <w:webHidden/>
          </w:rPr>
          <w:fldChar w:fldCharType="begin"/>
        </w:r>
        <w:r>
          <w:rPr>
            <w:noProof/>
            <w:webHidden/>
          </w:rPr>
          <w:instrText xml:space="preserve"> PAGEREF _Toc154068789 \h </w:instrText>
        </w:r>
        <w:r>
          <w:rPr>
            <w:noProof/>
            <w:webHidden/>
          </w:rPr>
        </w:r>
        <w:r>
          <w:rPr>
            <w:noProof/>
            <w:webHidden/>
          </w:rPr>
          <w:fldChar w:fldCharType="separate"/>
        </w:r>
        <w:r w:rsidR="00504826">
          <w:rPr>
            <w:noProof/>
            <w:webHidden/>
          </w:rPr>
          <w:t>7-1</w:t>
        </w:r>
        <w:r>
          <w:rPr>
            <w:noProof/>
            <w:webHidden/>
          </w:rPr>
          <w:fldChar w:fldCharType="end"/>
        </w:r>
      </w:hyperlink>
    </w:p>
    <w:p w14:paraId="38FE6734" w14:textId="0E8C409C"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90" w:history="1">
        <w:r w:rsidRPr="00393B4F">
          <w:rPr>
            <w:rStyle w:val="Hyperlink"/>
            <w:noProof/>
          </w:rPr>
          <w:t>7.1</w:t>
        </w:r>
        <w:r>
          <w:rPr>
            <w:rFonts w:eastAsiaTheme="minorEastAsia" w:cstheme="minorBidi"/>
            <w:iCs w:val="0"/>
            <w:noProof/>
            <w:color w:val="auto"/>
            <w:kern w:val="2"/>
            <w:sz w:val="22"/>
            <w:szCs w:val="22"/>
            <w:lang w:eastAsia="en-CA"/>
            <w14:ligatures w14:val="standardContextual"/>
          </w:rPr>
          <w:tab/>
        </w:r>
        <w:r w:rsidRPr="00393B4F">
          <w:rPr>
            <w:rStyle w:val="Hyperlink"/>
            <w:noProof/>
          </w:rPr>
          <w:t>Introduction</w:t>
        </w:r>
        <w:r>
          <w:rPr>
            <w:noProof/>
            <w:webHidden/>
          </w:rPr>
          <w:tab/>
        </w:r>
        <w:r>
          <w:rPr>
            <w:noProof/>
            <w:webHidden/>
          </w:rPr>
          <w:fldChar w:fldCharType="begin"/>
        </w:r>
        <w:r>
          <w:rPr>
            <w:noProof/>
            <w:webHidden/>
          </w:rPr>
          <w:instrText xml:space="preserve"> PAGEREF _Toc154068790 \h </w:instrText>
        </w:r>
        <w:r>
          <w:rPr>
            <w:noProof/>
            <w:webHidden/>
          </w:rPr>
        </w:r>
        <w:r>
          <w:rPr>
            <w:noProof/>
            <w:webHidden/>
          </w:rPr>
          <w:fldChar w:fldCharType="separate"/>
        </w:r>
        <w:r w:rsidR="00504826">
          <w:rPr>
            <w:noProof/>
            <w:webHidden/>
          </w:rPr>
          <w:t>7-1</w:t>
        </w:r>
        <w:r>
          <w:rPr>
            <w:noProof/>
            <w:webHidden/>
          </w:rPr>
          <w:fldChar w:fldCharType="end"/>
        </w:r>
      </w:hyperlink>
    </w:p>
    <w:p w14:paraId="12C9F74E" w14:textId="080B786C"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91" w:history="1">
        <w:r w:rsidRPr="00393B4F">
          <w:rPr>
            <w:rStyle w:val="Hyperlink"/>
            <w:noProof/>
          </w:rPr>
          <w:t>7.2</w:t>
        </w:r>
        <w:r>
          <w:rPr>
            <w:rFonts w:eastAsiaTheme="minorEastAsia" w:cstheme="minorBidi"/>
            <w:iCs w:val="0"/>
            <w:noProof/>
            <w:color w:val="auto"/>
            <w:kern w:val="2"/>
            <w:sz w:val="22"/>
            <w:szCs w:val="22"/>
            <w:lang w:eastAsia="en-CA"/>
            <w14:ligatures w14:val="standardContextual"/>
          </w:rPr>
          <w:tab/>
        </w:r>
        <w:r w:rsidRPr="00393B4F">
          <w:rPr>
            <w:rStyle w:val="Hyperlink"/>
            <w:noProof/>
          </w:rPr>
          <w:t>D.C. By-law Structure</w:t>
        </w:r>
        <w:r>
          <w:rPr>
            <w:noProof/>
            <w:webHidden/>
          </w:rPr>
          <w:tab/>
        </w:r>
        <w:r>
          <w:rPr>
            <w:noProof/>
            <w:webHidden/>
          </w:rPr>
          <w:fldChar w:fldCharType="begin"/>
        </w:r>
        <w:r>
          <w:rPr>
            <w:noProof/>
            <w:webHidden/>
          </w:rPr>
          <w:instrText xml:space="preserve"> PAGEREF _Toc154068791 \h </w:instrText>
        </w:r>
        <w:r>
          <w:rPr>
            <w:noProof/>
            <w:webHidden/>
          </w:rPr>
        </w:r>
        <w:r>
          <w:rPr>
            <w:noProof/>
            <w:webHidden/>
          </w:rPr>
          <w:fldChar w:fldCharType="separate"/>
        </w:r>
        <w:r w:rsidR="00504826">
          <w:rPr>
            <w:noProof/>
            <w:webHidden/>
          </w:rPr>
          <w:t>7-2</w:t>
        </w:r>
        <w:r>
          <w:rPr>
            <w:noProof/>
            <w:webHidden/>
          </w:rPr>
          <w:fldChar w:fldCharType="end"/>
        </w:r>
      </w:hyperlink>
    </w:p>
    <w:p w14:paraId="692134C3" w14:textId="0F2485C9"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792" w:history="1">
        <w:r w:rsidRPr="00393B4F">
          <w:rPr>
            <w:rStyle w:val="Hyperlink"/>
            <w:noProof/>
          </w:rPr>
          <w:t>7.3</w:t>
        </w:r>
        <w:r>
          <w:rPr>
            <w:rFonts w:eastAsiaTheme="minorEastAsia" w:cstheme="minorBidi"/>
            <w:iCs w:val="0"/>
            <w:noProof/>
            <w:color w:val="auto"/>
            <w:kern w:val="2"/>
            <w:sz w:val="22"/>
            <w:szCs w:val="22"/>
            <w:lang w:eastAsia="en-CA"/>
            <w14:ligatures w14:val="standardContextual"/>
          </w:rPr>
          <w:tab/>
        </w:r>
        <w:r w:rsidRPr="00393B4F">
          <w:rPr>
            <w:rStyle w:val="Hyperlink"/>
            <w:noProof/>
          </w:rPr>
          <w:t>D.C. By-law Rules</w:t>
        </w:r>
        <w:r>
          <w:rPr>
            <w:noProof/>
            <w:webHidden/>
          </w:rPr>
          <w:tab/>
        </w:r>
        <w:r>
          <w:rPr>
            <w:noProof/>
            <w:webHidden/>
          </w:rPr>
          <w:fldChar w:fldCharType="begin"/>
        </w:r>
        <w:r>
          <w:rPr>
            <w:noProof/>
            <w:webHidden/>
          </w:rPr>
          <w:instrText xml:space="preserve"> PAGEREF _Toc154068792 \h </w:instrText>
        </w:r>
        <w:r>
          <w:rPr>
            <w:noProof/>
            <w:webHidden/>
          </w:rPr>
        </w:r>
        <w:r>
          <w:rPr>
            <w:noProof/>
            <w:webHidden/>
          </w:rPr>
          <w:fldChar w:fldCharType="separate"/>
        </w:r>
        <w:r w:rsidR="00504826">
          <w:rPr>
            <w:noProof/>
            <w:webHidden/>
          </w:rPr>
          <w:t>7-2</w:t>
        </w:r>
        <w:r>
          <w:rPr>
            <w:noProof/>
            <w:webHidden/>
          </w:rPr>
          <w:fldChar w:fldCharType="end"/>
        </w:r>
      </w:hyperlink>
    </w:p>
    <w:p w14:paraId="39F21D58" w14:textId="67C08770" w:rsidR="007A4683" w:rsidRDefault="007A4683">
      <w:pPr>
        <w:pStyle w:val="TOC3"/>
        <w:rPr>
          <w:rFonts w:eastAsiaTheme="minorEastAsia" w:cstheme="minorBidi"/>
          <w:noProof/>
          <w:color w:val="auto"/>
          <w:kern w:val="2"/>
          <w:sz w:val="22"/>
          <w:szCs w:val="22"/>
          <w:lang w:eastAsia="en-CA"/>
          <w14:ligatures w14:val="standardContextual"/>
        </w:rPr>
      </w:pPr>
      <w:hyperlink w:anchor="_Toc154068793" w:history="1">
        <w:r w:rsidRPr="00393B4F">
          <w:rPr>
            <w:rStyle w:val="Hyperlink"/>
            <w:noProof/>
          </w:rPr>
          <w:t>7.3.1</w:t>
        </w:r>
        <w:r>
          <w:rPr>
            <w:rFonts w:eastAsiaTheme="minorEastAsia" w:cstheme="minorBidi"/>
            <w:noProof/>
            <w:color w:val="auto"/>
            <w:kern w:val="2"/>
            <w:sz w:val="22"/>
            <w:szCs w:val="22"/>
            <w:lang w:eastAsia="en-CA"/>
            <w14:ligatures w14:val="standardContextual"/>
          </w:rPr>
          <w:tab/>
        </w:r>
        <w:r w:rsidRPr="00393B4F">
          <w:rPr>
            <w:rStyle w:val="Hyperlink"/>
            <w:noProof/>
          </w:rPr>
          <w:t>Payment in any Particular Case</w:t>
        </w:r>
        <w:r>
          <w:rPr>
            <w:noProof/>
            <w:webHidden/>
          </w:rPr>
          <w:tab/>
        </w:r>
        <w:r>
          <w:rPr>
            <w:noProof/>
            <w:webHidden/>
          </w:rPr>
          <w:fldChar w:fldCharType="begin"/>
        </w:r>
        <w:r>
          <w:rPr>
            <w:noProof/>
            <w:webHidden/>
          </w:rPr>
          <w:instrText xml:space="preserve"> PAGEREF _Toc154068793 \h </w:instrText>
        </w:r>
        <w:r>
          <w:rPr>
            <w:noProof/>
            <w:webHidden/>
          </w:rPr>
        </w:r>
        <w:r>
          <w:rPr>
            <w:noProof/>
            <w:webHidden/>
          </w:rPr>
          <w:fldChar w:fldCharType="separate"/>
        </w:r>
        <w:r w:rsidR="00504826">
          <w:rPr>
            <w:noProof/>
            <w:webHidden/>
          </w:rPr>
          <w:t>7-2</w:t>
        </w:r>
        <w:r>
          <w:rPr>
            <w:noProof/>
            <w:webHidden/>
          </w:rPr>
          <w:fldChar w:fldCharType="end"/>
        </w:r>
      </w:hyperlink>
    </w:p>
    <w:p w14:paraId="185C8027" w14:textId="324C5199" w:rsidR="007A4683" w:rsidRDefault="007A4683">
      <w:pPr>
        <w:pStyle w:val="TOC3"/>
        <w:rPr>
          <w:rFonts w:eastAsiaTheme="minorEastAsia" w:cstheme="minorBidi"/>
          <w:noProof/>
          <w:color w:val="auto"/>
          <w:kern w:val="2"/>
          <w:sz w:val="22"/>
          <w:szCs w:val="22"/>
          <w:lang w:eastAsia="en-CA"/>
          <w14:ligatures w14:val="standardContextual"/>
        </w:rPr>
      </w:pPr>
      <w:hyperlink w:anchor="_Toc154068794" w:history="1">
        <w:r w:rsidRPr="00393B4F">
          <w:rPr>
            <w:rStyle w:val="Hyperlink"/>
            <w:noProof/>
          </w:rPr>
          <w:t>7.3.2</w:t>
        </w:r>
        <w:r>
          <w:rPr>
            <w:rFonts w:eastAsiaTheme="minorEastAsia" w:cstheme="minorBidi"/>
            <w:noProof/>
            <w:color w:val="auto"/>
            <w:kern w:val="2"/>
            <w:sz w:val="22"/>
            <w:szCs w:val="22"/>
            <w:lang w:eastAsia="en-CA"/>
            <w14:ligatures w14:val="standardContextual"/>
          </w:rPr>
          <w:tab/>
        </w:r>
        <w:r w:rsidRPr="00393B4F">
          <w:rPr>
            <w:rStyle w:val="Hyperlink"/>
            <w:noProof/>
          </w:rPr>
          <w:t>Determination of the Amount of the Charge</w:t>
        </w:r>
        <w:r>
          <w:rPr>
            <w:noProof/>
            <w:webHidden/>
          </w:rPr>
          <w:tab/>
        </w:r>
        <w:r>
          <w:rPr>
            <w:noProof/>
            <w:webHidden/>
          </w:rPr>
          <w:fldChar w:fldCharType="begin"/>
        </w:r>
        <w:r>
          <w:rPr>
            <w:noProof/>
            <w:webHidden/>
          </w:rPr>
          <w:instrText xml:space="preserve"> PAGEREF _Toc154068794 \h </w:instrText>
        </w:r>
        <w:r>
          <w:rPr>
            <w:noProof/>
            <w:webHidden/>
          </w:rPr>
        </w:r>
        <w:r>
          <w:rPr>
            <w:noProof/>
            <w:webHidden/>
          </w:rPr>
          <w:fldChar w:fldCharType="separate"/>
        </w:r>
        <w:r w:rsidR="00504826">
          <w:rPr>
            <w:noProof/>
            <w:webHidden/>
          </w:rPr>
          <w:t>7-3</w:t>
        </w:r>
        <w:r>
          <w:rPr>
            <w:noProof/>
            <w:webHidden/>
          </w:rPr>
          <w:fldChar w:fldCharType="end"/>
        </w:r>
      </w:hyperlink>
    </w:p>
    <w:p w14:paraId="2FAD2113" w14:textId="09A158F5" w:rsidR="007A4683" w:rsidRDefault="007A4683">
      <w:pPr>
        <w:pStyle w:val="TOC3"/>
        <w:rPr>
          <w:rFonts w:eastAsiaTheme="minorEastAsia" w:cstheme="minorBidi"/>
          <w:noProof/>
          <w:color w:val="auto"/>
          <w:kern w:val="2"/>
          <w:sz w:val="22"/>
          <w:szCs w:val="22"/>
          <w:lang w:eastAsia="en-CA"/>
          <w14:ligatures w14:val="standardContextual"/>
        </w:rPr>
      </w:pPr>
      <w:hyperlink w:anchor="_Toc154068795" w:history="1">
        <w:r w:rsidRPr="00393B4F">
          <w:rPr>
            <w:rStyle w:val="Hyperlink"/>
            <w:noProof/>
          </w:rPr>
          <w:t>7.3.3</w:t>
        </w:r>
        <w:r>
          <w:rPr>
            <w:rFonts w:eastAsiaTheme="minorEastAsia" w:cstheme="minorBidi"/>
            <w:noProof/>
            <w:color w:val="auto"/>
            <w:kern w:val="2"/>
            <w:sz w:val="22"/>
            <w:szCs w:val="22"/>
            <w:lang w:eastAsia="en-CA"/>
            <w14:ligatures w14:val="standardContextual"/>
          </w:rPr>
          <w:tab/>
        </w:r>
        <w:r w:rsidRPr="00393B4F">
          <w:rPr>
            <w:rStyle w:val="Hyperlink"/>
            <w:noProof/>
          </w:rPr>
          <w:t>Application to Redevelopment of Land (Demolition and Conversion)</w:t>
        </w:r>
        <w:r>
          <w:rPr>
            <w:noProof/>
            <w:webHidden/>
          </w:rPr>
          <w:tab/>
        </w:r>
        <w:r>
          <w:rPr>
            <w:noProof/>
            <w:webHidden/>
          </w:rPr>
          <w:fldChar w:fldCharType="begin"/>
        </w:r>
        <w:r>
          <w:rPr>
            <w:noProof/>
            <w:webHidden/>
          </w:rPr>
          <w:instrText xml:space="preserve"> PAGEREF _Toc154068795 \h </w:instrText>
        </w:r>
        <w:r>
          <w:rPr>
            <w:noProof/>
            <w:webHidden/>
          </w:rPr>
        </w:r>
        <w:r>
          <w:rPr>
            <w:noProof/>
            <w:webHidden/>
          </w:rPr>
          <w:fldChar w:fldCharType="separate"/>
        </w:r>
        <w:r w:rsidR="00504826">
          <w:rPr>
            <w:noProof/>
            <w:webHidden/>
          </w:rPr>
          <w:t>7-3</w:t>
        </w:r>
        <w:r>
          <w:rPr>
            <w:noProof/>
            <w:webHidden/>
          </w:rPr>
          <w:fldChar w:fldCharType="end"/>
        </w:r>
      </w:hyperlink>
    </w:p>
    <w:p w14:paraId="1FDAA5A1" w14:textId="25611248" w:rsidR="007A4683" w:rsidRDefault="007A4683">
      <w:pPr>
        <w:pStyle w:val="TOC3"/>
        <w:rPr>
          <w:rFonts w:eastAsiaTheme="minorEastAsia" w:cstheme="minorBidi"/>
          <w:noProof/>
          <w:color w:val="auto"/>
          <w:kern w:val="2"/>
          <w:sz w:val="22"/>
          <w:szCs w:val="22"/>
          <w:lang w:eastAsia="en-CA"/>
          <w14:ligatures w14:val="standardContextual"/>
        </w:rPr>
      </w:pPr>
      <w:hyperlink w:anchor="_Toc154068796" w:history="1">
        <w:r w:rsidRPr="00393B4F">
          <w:rPr>
            <w:rStyle w:val="Hyperlink"/>
            <w:noProof/>
          </w:rPr>
          <w:t>7.3.4</w:t>
        </w:r>
        <w:r>
          <w:rPr>
            <w:rFonts w:eastAsiaTheme="minorEastAsia" w:cstheme="minorBidi"/>
            <w:noProof/>
            <w:color w:val="auto"/>
            <w:kern w:val="2"/>
            <w:sz w:val="22"/>
            <w:szCs w:val="22"/>
            <w:lang w:eastAsia="en-CA"/>
            <w14:ligatures w14:val="standardContextual"/>
          </w:rPr>
          <w:tab/>
        </w:r>
        <w:r w:rsidRPr="00393B4F">
          <w:rPr>
            <w:rStyle w:val="Hyperlink"/>
            <w:noProof/>
          </w:rPr>
          <w:t>Exemptions (full or partial)</w:t>
        </w:r>
        <w:r>
          <w:rPr>
            <w:noProof/>
            <w:webHidden/>
          </w:rPr>
          <w:tab/>
        </w:r>
        <w:r>
          <w:rPr>
            <w:noProof/>
            <w:webHidden/>
          </w:rPr>
          <w:fldChar w:fldCharType="begin"/>
        </w:r>
        <w:r>
          <w:rPr>
            <w:noProof/>
            <w:webHidden/>
          </w:rPr>
          <w:instrText xml:space="preserve"> PAGEREF _Toc154068796 \h </w:instrText>
        </w:r>
        <w:r>
          <w:rPr>
            <w:noProof/>
            <w:webHidden/>
          </w:rPr>
        </w:r>
        <w:r>
          <w:rPr>
            <w:noProof/>
            <w:webHidden/>
          </w:rPr>
          <w:fldChar w:fldCharType="separate"/>
        </w:r>
        <w:r w:rsidR="00504826">
          <w:rPr>
            <w:noProof/>
            <w:webHidden/>
          </w:rPr>
          <w:t>7-5</w:t>
        </w:r>
        <w:r>
          <w:rPr>
            <w:noProof/>
            <w:webHidden/>
          </w:rPr>
          <w:fldChar w:fldCharType="end"/>
        </w:r>
      </w:hyperlink>
    </w:p>
    <w:p w14:paraId="2210CF28" w14:textId="65B04A7D" w:rsidR="007A4683" w:rsidRDefault="007A4683">
      <w:pPr>
        <w:pStyle w:val="TOC3"/>
        <w:rPr>
          <w:rFonts w:eastAsiaTheme="minorEastAsia" w:cstheme="minorBidi"/>
          <w:noProof/>
          <w:color w:val="auto"/>
          <w:kern w:val="2"/>
          <w:sz w:val="22"/>
          <w:szCs w:val="22"/>
          <w:lang w:eastAsia="en-CA"/>
          <w14:ligatures w14:val="standardContextual"/>
        </w:rPr>
      </w:pPr>
      <w:hyperlink w:anchor="_Toc154068797" w:history="1">
        <w:r w:rsidRPr="00393B4F">
          <w:rPr>
            <w:rStyle w:val="Hyperlink"/>
            <w:noProof/>
          </w:rPr>
          <w:t>7.3.5</w:t>
        </w:r>
        <w:r>
          <w:rPr>
            <w:rFonts w:eastAsiaTheme="minorEastAsia" w:cstheme="minorBidi"/>
            <w:noProof/>
            <w:color w:val="auto"/>
            <w:kern w:val="2"/>
            <w:sz w:val="22"/>
            <w:szCs w:val="22"/>
            <w:lang w:eastAsia="en-CA"/>
            <w14:ligatures w14:val="standardContextual"/>
          </w:rPr>
          <w:tab/>
        </w:r>
        <w:r w:rsidRPr="00393B4F">
          <w:rPr>
            <w:rStyle w:val="Hyperlink"/>
            <w:noProof/>
          </w:rPr>
          <w:t>Phasing in</w:t>
        </w:r>
        <w:r>
          <w:rPr>
            <w:noProof/>
            <w:webHidden/>
          </w:rPr>
          <w:tab/>
        </w:r>
        <w:r>
          <w:rPr>
            <w:noProof/>
            <w:webHidden/>
          </w:rPr>
          <w:fldChar w:fldCharType="begin"/>
        </w:r>
        <w:r>
          <w:rPr>
            <w:noProof/>
            <w:webHidden/>
          </w:rPr>
          <w:instrText xml:space="preserve"> PAGEREF _Toc154068797 \h </w:instrText>
        </w:r>
        <w:r>
          <w:rPr>
            <w:noProof/>
            <w:webHidden/>
          </w:rPr>
        </w:r>
        <w:r>
          <w:rPr>
            <w:noProof/>
            <w:webHidden/>
          </w:rPr>
          <w:fldChar w:fldCharType="separate"/>
        </w:r>
        <w:r w:rsidR="00504826">
          <w:rPr>
            <w:noProof/>
            <w:webHidden/>
          </w:rPr>
          <w:t>7-7</w:t>
        </w:r>
        <w:r>
          <w:rPr>
            <w:noProof/>
            <w:webHidden/>
          </w:rPr>
          <w:fldChar w:fldCharType="end"/>
        </w:r>
      </w:hyperlink>
    </w:p>
    <w:p w14:paraId="79E7F7D0" w14:textId="5D431B2F" w:rsidR="007A4683" w:rsidRDefault="007A4683">
      <w:pPr>
        <w:pStyle w:val="TOC3"/>
        <w:rPr>
          <w:rFonts w:eastAsiaTheme="minorEastAsia" w:cstheme="minorBidi"/>
          <w:noProof/>
          <w:color w:val="auto"/>
          <w:kern w:val="2"/>
          <w:sz w:val="22"/>
          <w:szCs w:val="22"/>
          <w:lang w:eastAsia="en-CA"/>
          <w14:ligatures w14:val="standardContextual"/>
        </w:rPr>
      </w:pPr>
      <w:hyperlink w:anchor="_Toc154068798" w:history="1">
        <w:r w:rsidRPr="00393B4F">
          <w:rPr>
            <w:rStyle w:val="Hyperlink"/>
            <w:noProof/>
          </w:rPr>
          <w:t>7.3.6</w:t>
        </w:r>
        <w:r>
          <w:rPr>
            <w:rFonts w:eastAsiaTheme="minorEastAsia" w:cstheme="minorBidi"/>
            <w:noProof/>
            <w:color w:val="auto"/>
            <w:kern w:val="2"/>
            <w:sz w:val="22"/>
            <w:szCs w:val="22"/>
            <w:lang w:eastAsia="en-CA"/>
            <w14:ligatures w14:val="standardContextual"/>
          </w:rPr>
          <w:tab/>
        </w:r>
        <w:r w:rsidRPr="00393B4F">
          <w:rPr>
            <w:rStyle w:val="Hyperlink"/>
            <w:noProof/>
          </w:rPr>
          <w:t>Timing of Collection</w:t>
        </w:r>
        <w:r>
          <w:rPr>
            <w:noProof/>
            <w:webHidden/>
          </w:rPr>
          <w:tab/>
        </w:r>
        <w:r>
          <w:rPr>
            <w:noProof/>
            <w:webHidden/>
          </w:rPr>
          <w:fldChar w:fldCharType="begin"/>
        </w:r>
        <w:r>
          <w:rPr>
            <w:noProof/>
            <w:webHidden/>
          </w:rPr>
          <w:instrText xml:space="preserve"> PAGEREF _Toc154068798 \h </w:instrText>
        </w:r>
        <w:r>
          <w:rPr>
            <w:noProof/>
            <w:webHidden/>
          </w:rPr>
        </w:r>
        <w:r>
          <w:rPr>
            <w:noProof/>
            <w:webHidden/>
          </w:rPr>
          <w:fldChar w:fldCharType="separate"/>
        </w:r>
        <w:r w:rsidR="00504826">
          <w:rPr>
            <w:noProof/>
            <w:webHidden/>
          </w:rPr>
          <w:t>7-7</w:t>
        </w:r>
        <w:r>
          <w:rPr>
            <w:noProof/>
            <w:webHidden/>
          </w:rPr>
          <w:fldChar w:fldCharType="end"/>
        </w:r>
      </w:hyperlink>
    </w:p>
    <w:p w14:paraId="531ACEF0" w14:textId="4FBE3FB9" w:rsidR="007A4683" w:rsidRDefault="007A4683">
      <w:pPr>
        <w:pStyle w:val="TOC3"/>
        <w:rPr>
          <w:rFonts w:eastAsiaTheme="minorEastAsia" w:cstheme="minorBidi"/>
          <w:noProof/>
          <w:color w:val="auto"/>
          <w:kern w:val="2"/>
          <w:sz w:val="22"/>
          <w:szCs w:val="22"/>
          <w:lang w:eastAsia="en-CA"/>
          <w14:ligatures w14:val="standardContextual"/>
        </w:rPr>
      </w:pPr>
      <w:hyperlink w:anchor="_Toc154068799" w:history="1">
        <w:r w:rsidRPr="00393B4F">
          <w:rPr>
            <w:rStyle w:val="Hyperlink"/>
            <w:noProof/>
          </w:rPr>
          <w:t>7.3.7</w:t>
        </w:r>
        <w:r>
          <w:rPr>
            <w:rFonts w:eastAsiaTheme="minorEastAsia" w:cstheme="minorBidi"/>
            <w:noProof/>
            <w:color w:val="auto"/>
            <w:kern w:val="2"/>
            <w:sz w:val="22"/>
            <w:szCs w:val="22"/>
            <w:lang w:eastAsia="en-CA"/>
            <w14:ligatures w14:val="standardContextual"/>
          </w:rPr>
          <w:tab/>
        </w:r>
        <w:r w:rsidRPr="00393B4F">
          <w:rPr>
            <w:rStyle w:val="Hyperlink"/>
            <w:noProof/>
          </w:rPr>
          <w:t>Indexing</w:t>
        </w:r>
        <w:r>
          <w:rPr>
            <w:noProof/>
            <w:webHidden/>
          </w:rPr>
          <w:tab/>
        </w:r>
        <w:r>
          <w:rPr>
            <w:noProof/>
            <w:webHidden/>
          </w:rPr>
          <w:fldChar w:fldCharType="begin"/>
        </w:r>
        <w:r>
          <w:rPr>
            <w:noProof/>
            <w:webHidden/>
          </w:rPr>
          <w:instrText xml:space="preserve"> PAGEREF _Toc154068799 \h </w:instrText>
        </w:r>
        <w:r>
          <w:rPr>
            <w:noProof/>
            <w:webHidden/>
          </w:rPr>
        </w:r>
        <w:r>
          <w:rPr>
            <w:noProof/>
            <w:webHidden/>
          </w:rPr>
          <w:fldChar w:fldCharType="separate"/>
        </w:r>
        <w:r w:rsidR="00504826">
          <w:rPr>
            <w:noProof/>
            <w:webHidden/>
          </w:rPr>
          <w:t>7-8</w:t>
        </w:r>
        <w:r>
          <w:rPr>
            <w:noProof/>
            <w:webHidden/>
          </w:rPr>
          <w:fldChar w:fldCharType="end"/>
        </w:r>
      </w:hyperlink>
    </w:p>
    <w:p w14:paraId="4681A813" w14:textId="0EE28EA8" w:rsidR="007A4683" w:rsidRDefault="007A4683">
      <w:pPr>
        <w:pStyle w:val="TOC3"/>
        <w:rPr>
          <w:rFonts w:eastAsiaTheme="minorEastAsia" w:cstheme="minorBidi"/>
          <w:noProof/>
          <w:color w:val="auto"/>
          <w:kern w:val="2"/>
          <w:sz w:val="22"/>
          <w:szCs w:val="22"/>
          <w:lang w:eastAsia="en-CA"/>
          <w14:ligatures w14:val="standardContextual"/>
        </w:rPr>
      </w:pPr>
      <w:hyperlink w:anchor="_Toc154068800" w:history="1">
        <w:r w:rsidRPr="00393B4F">
          <w:rPr>
            <w:rStyle w:val="Hyperlink"/>
            <w:noProof/>
          </w:rPr>
          <w:t>7.3.8</w:t>
        </w:r>
        <w:r>
          <w:rPr>
            <w:rFonts w:eastAsiaTheme="minorEastAsia" w:cstheme="minorBidi"/>
            <w:noProof/>
            <w:color w:val="auto"/>
            <w:kern w:val="2"/>
            <w:sz w:val="22"/>
            <w:szCs w:val="22"/>
            <w:lang w:eastAsia="en-CA"/>
            <w14:ligatures w14:val="standardContextual"/>
          </w:rPr>
          <w:tab/>
        </w:r>
        <w:r w:rsidRPr="00393B4F">
          <w:rPr>
            <w:rStyle w:val="Hyperlink"/>
            <w:noProof/>
          </w:rPr>
          <w:t>The Applicable Areas</w:t>
        </w:r>
        <w:r>
          <w:rPr>
            <w:noProof/>
            <w:webHidden/>
          </w:rPr>
          <w:tab/>
        </w:r>
        <w:r>
          <w:rPr>
            <w:noProof/>
            <w:webHidden/>
          </w:rPr>
          <w:fldChar w:fldCharType="begin"/>
        </w:r>
        <w:r>
          <w:rPr>
            <w:noProof/>
            <w:webHidden/>
          </w:rPr>
          <w:instrText xml:space="preserve"> PAGEREF _Toc154068800 \h </w:instrText>
        </w:r>
        <w:r>
          <w:rPr>
            <w:noProof/>
            <w:webHidden/>
          </w:rPr>
        </w:r>
        <w:r>
          <w:rPr>
            <w:noProof/>
            <w:webHidden/>
          </w:rPr>
          <w:fldChar w:fldCharType="separate"/>
        </w:r>
        <w:r w:rsidR="00504826">
          <w:rPr>
            <w:noProof/>
            <w:webHidden/>
          </w:rPr>
          <w:t>7-8</w:t>
        </w:r>
        <w:r>
          <w:rPr>
            <w:noProof/>
            <w:webHidden/>
          </w:rPr>
          <w:fldChar w:fldCharType="end"/>
        </w:r>
      </w:hyperlink>
    </w:p>
    <w:p w14:paraId="7719C767" w14:textId="7E7ACCA2"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801" w:history="1">
        <w:r w:rsidRPr="00393B4F">
          <w:rPr>
            <w:rStyle w:val="Hyperlink"/>
            <w:noProof/>
          </w:rPr>
          <w:t>7.4</w:t>
        </w:r>
        <w:r>
          <w:rPr>
            <w:rFonts w:eastAsiaTheme="minorEastAsia" w:cstheme="minorBidi"/>
            <w:iCs w:val="0"/>
            <w:noProof/>
            <w:color w:val="auto"/>
            <w:kern w:val="2"/>
            <w:sz w:val="22"/>
            <w:szCs w:val="22"/>
            <w:lang w:eastAsia="en-CA"/>
            <w14:ligatures w14:val="standardContextual"/>
          </w:rPr>
          <w:tab/>
        </w:r>
        <w:r w:rsidRPr="00393B4F">
          <w:rPr>
            <w:rStyle w:val="Hyperlink"/>
            <w:noProof/>
          </w:rPr>
          <w:t>Other D.C. By-law Provisions</w:t>
        </w:r>
        <w:r>
          <w:rPr>
            <w:noProof/>
            <w:webHidden/>
          </w:rPr>
          <w:tab/>
        </w:r>
        <w:r>
          <w:rPr>
            <w:noProof/>
            <w:webHidden/>
          </w:rPr>
          <w:fldChar w:fldCharType="begin"/>
        </w:r>
        <w:r>
          <w:rPr>
            <w:noProof/>
            <w:webHidden/>
          </w:rPr>
          <w:instrText xml:space="preserve"> PAGEREF _Toc154068801 \h </w:instrText>
        </w:r>
        <w:r>
          <w:rPr>
            <w:noProof/>
            <w:webHidden/>
          </w:rPr>
        </w:r>
        <w:r>
          <w:rPr>
            <w:noProof/>
            <w:webHidden/>
          </w:rPr>
          <w:fldChar w:fldCharType="separate"/>
        </w:r>
        <w:r w:rsidR="00504826">
          <w:rPr>
            <w:noProof/>
            <w:webHidden/>
          </w:rPr>
          <w:t>7-8</w:t>
        </w:r>
        <w:r>
          <w:rPr>
            <w:noProof/>
            <w:webHidden/>
          </w:rPr>
          <w:fldChar w:fldCharType="end"/>
        </w:r>
      </w:hyperlink>
    </w:p>
    <w:p w14:paraId="3303A6D7" w14:textId="2A4F6BAA" w:rsidR="007A4683" w:rsidRDefault="007A4683">
      <w:pPr>
        <w:pStyle w:val="TOC3"/>
        <w:rPr>
          <w:rFonts w:eastAsiaTheme="minorEastAsia" w:cstheme="minorBidi"/>
          <w:noProof/>
          <w:color w:val="auto"/>
          <w:kern w:val="2"/>
          <w:sz w:val="22"/>
          <w:szCs w:val="22"/>
          <w:lang w:eastAsia="en-CA"/>
          <w14:ligatures w14:val="standardContextual"/>
        </w:rPr>
      </w:pPr>
      <w:hyperlink w:anchor="_Toc154068802" w:history="1">
        <w:r w:rsidRPr="00393B4F">
          <w:rPr>
            <w:rStyle w:val="Hyperlink"/>
            <w:noProof/>
          </w:rPr>
          <w:t>7.4.1</w:t>
        </w:r>
        <w:r>
          <w:rPr>
            <w:rFonts w:eastAsiaTheme="minorEastAsia" w:cstheme="minorBidi"/>
            <w:noProof/>
            <w:color w:val="auto"/>
            <w:kern w:val="2"/>
            <w:sz w:val="22"/>
            <w:szCs w:val="22"/>
            <w:lang w:eastAsia="en-CA"/>
            <w14:ligatures w14:val="standardContextual"/>
          </w:rPr>
          <w:tab/>
        </w:r>
        <w:r w:rsidRPr="00393B4F">
          <w:rPr>
            <w:rStyle w:val="Hyperlink"/>
            <w:noProof/>
          </w:rPr>
          <w:t>Categories of Services for Reserve Fund and Credit Purposes</w:t>
        </w:r>
        <w:r>
          <w:rPr>
            <w:noProof/>
            <w:webHidden/>
          </w:rPr>
          <w:tab/>
        </w:r>
        <w:r>
          <w:rPr>
            <w:noProof/>
            <w:webHidden/>
          </w:rPr>
          <w:fldChar w:fldCharType="begin"/>
        </w:r>
        <w:r>
          <w:rPr>
            <w:noProof/>
            <w:webHidden/>
          </w:rPr>
          <w:instrText xml:space="preserve"> PAGEREF _Toc154068802 \h </w:instrText>
        </w:r>
        <w:r>
          <w:rPr>
            <w:noProof/>
            <w:webHidden/>
          </w:rPr>
        </w:r>
        <w:r>
          <w:rPr>
            <w:noProof/>
            <w:webHidden/>
          </w:rPr>
          <w:fldChar w:fldCharType="separate"/>
        </w:r>
        <w:r w:rsidR="00504826">
          <w:rPr>
            <w:noProof/>
            <w:webHidden/>
          </w:rPr>
          <w:t>7-8</w:t>
        </w:r>
        <w:r>
          <w:rPr>
            <w:noProof/>
            <w:webHidden/>
          </w:rPr>
          <w:fldChar w:fldCharType="end"/>
        </w:r>
      </w:hyperlink>
    </w:p>
    <w:p w14:paraId="2E2459A7" w14:textId="53E7B55A" w:rsidR="007A4683" w:rsidRDefault="007A4683">
      <w:pPr>
        <w:pStyle w:val="TOC3"/>
        <w:rPr>
          <w:rFonts w:eastAsiaTheme="minorEastAsia" w:cstheme="minorBidi"/>
          <w:noProof/>
          <w:color w:val="auto"/>
          <w:kern w:val="2"/>
          <w:sz w:val="22"/>
          <w:szCs w:val="22"/>
          <w:lang w:eastAsia="en-CA"/>
          <w14:ligatures w14:val="standardContextual"/>
        </w:rPr>
      </w:pPr>
      <w:hyperlink w:anchor="_Toc154068803" w:history="1">
        <w:r w:rsidRPr="00393B4F">
          <w:rPr>
            <w:rStyle w:val="Hyperlink"/>
            <w:noProof/>
          </w:rPr>
          <w:t>7.4.2</w:t>
        </w:r>
        <w:r>
          <w:rPr>
            <w:rFonts w:eastAsiaTheme="minorEastAsia" w:cstheme="minorBidi"/>
            <w:noProof/>
            <w:color w:val="auto"/>
            <w:kern w:val="2"/>
            <w:sz w:val="22"/>
            <w:szCs w:val="22"/>
            <w:lang w:eastAsia="en-CA"/>
            <w14:ligatures w14:val="standardContextual"/>
          </w:rPr>
          <w:tab/>
        </w:r>
        <w:r w:rsidRPr="00393B4F">
          <w:rPr>
            <w:rStyle w:val="Hyperlink"/>
            <w:noProof/>
          </w:rPr>
          <w:t>By-law In-force Date</w:t>
        </w:r>
        <w:r>
          <w:rPr>
            <w:noProof/>
            <w:webHidden/>
          </w:rPr>
          <w:tab/>
        </w:r>
        <w:r>
          <w:rPr>
            <w:noProof/>
            <w:webHidden/>
          </w:rPr>
          <w:fldChar w:fldCharType="begin"/>
        </w:r>
        <w:r>
          <w:rPr>
            <w:noProof/>
            <w:webHidden/>
          </w:rPr>
          <w:instrText xml:space="preserve"> PAGEREF _Toc154068803 \h </w:instrText>
        </w:r>
        <w:r>
          <w:rPr>
            <w:noProof/>
            <w:webHidden/>
          </w:rPr>
        </w:r>
        <w:r>
          <w:rPr>
            <w:noProof/>
            <w:webHidden/>
          </w:rPr>
          <w:fldChar w:fldCharType="separate"/>
        </w:r>
        <w:r w:rsidR="00504826">
          <w:rPr>
            <w:noProof/>
            <w:webHidden/>
          </w:rPr>
          <w:t>7-9</w:t>
        </w:r>
        <w:r>
          <w:rPr>
            <w:noProof/>
            <w:webHidden/>
          </w:rPr>
          <w:fldChar w:fldCharType="end"/>
        </w:r>
      </w:hyperlink>
    </w:p>
    <w:p w14:paraId="43902373" w14:textId="5C93EB72" w:rsidR="007A4683" w:rsidRDefault="007A4683">
      <w:pPr>
        <w:pStyle w:val="TOC3"/>
        <w:rPr>
          <w:rFonts w:eastAsiaTheme="minorEastAsia" w:cstheme="minorBidi"/>
          <w:noProof/>
          <w:color w:val="auto"/>
          <w:kern w:val="2"/>
          <w:sz w:val="22"/>
          <w:szCs w:val="22"/>
          <w:lang w:eastAsia="en-CA"/>
          <w14:ligatures w14:val="standardContextual"/>
        </w:rPr>
      </w:pPr>
      <w:hyperlink w:anchor="_Toc154068804" w:history="1">
        <w:r w:rsidRPr="00393B4F">
          <w:rPr>
            <w:rStyle w:val="Hyperlink"/>
            <w:noProof/>
          </w:rPr>
          <w:t>7.4.3</w:t>
        </w:r>
        <w:r>
          <w:rPr>
            <w:rFonts w:eastAsiaTheme="minorEastAsia" w:cstheme="minorBidi"/>
            <w:noProof/>
            <w:color w:val="auto"/>
            <w:kern w:val="2"/>
            <w:sz w:val="22"/>
            <w:szCs w:val="22"/>
            <w:lang w:eastAsia="en-CA"/>
            <w14:ligatures w14:val="standardContextual"/>
          </w:rPr>
          <w:tab/>
        </w:r>
        <w:r w:rsidRPr="00393B4F">
          <w:rPr>
            <w:rStyle w:val="Hyperlink"/>
            <w:noProof/>
          </w:rPr>
          <w:t>Minimum Interest Rate Paid on Refunds and Charged for Inter-Reserve Fund Borrowing</w:t>
        </w:r>
        <w:r>
          <w:rPr>
            <w:noProof/>
            <w:webHidden/>
          </w:rPr>
          <w:tab/>
        </w:r>
        <w:r>
          <w:rPr>
            <w:noProof/>
            <w:webHidden/>
          </w:rPr>
          <w:fldChar w:fldCharType="begin"/>
        </w:r>
        <w:r>
          <w:rPr>
            <w:noProof/>
            <w:webHidden/>
          </w:rPr>
          <w:instrText xml:space="preserve"> PAGEREF _Toc154068804 \h </w:instrText>
        </w:r>
        <w:r>
          <w:rPr>
            <w:noProof/>
            <w:webHidden/>
          </w:rPr>
        </w:r>
        <w:r>
          <w:rPr>
            <w:noProof/>
            <w:webHidden/>
          </w:rPr>
          <w:fldChar w:fldCharType="separate"/>
        </w:r>
        <w:r w:rsidR="00504826">
          <w:rPr>
            <w:noProof/>
            <w:webHidden/>
          </w:rPr>
          <w:t>7-9</w:t>
        </w:r>
        <w:r>
          <w:rPr>
            <w:noProof/>
            <w:webHidden/>
          </w:rPr>
          <w:fldChar w:fldCharType="end"/>
        </w:r>
      </w:hyperlink>
    </w:p>
    <w:p w14:paraId="0BACCD12" w14:textId="1FB6E96D" w:rsidR="007A4683" w:rsidRDefault="007A4683">
      <w:pPr>
        <w:pStyle w:val="TOC3"/>
        <w:rPr>
          <w:rFonts w:eastAsiaTheme="minorEastAsia" w:cstheme="minorBidi"/>
          <w:noProof/>
          <w:color w:val="auto"/>
          <w:kern w:val="2"/>
          <w:sz w:val="22"/>
          <w:szCs w:val="22"/>
          <w:lang w:eastAsia="en-CA"/>
          <w14:ligatures w14:val="standardContextual"/>
        </w:rPr>
      </w:pPr>
      <w:hyperlink w:anchor="_Toc154068805" w:history="1">
        <w:r w:rsidRPr="00393B4F">
          <w:rPr>
            <w:rStyle w:val="Hyperlink"/>
            <w:noProof/>
          </w:rPr>
          <w:t>7.4.4</w:t>
        </w:r>
        <w:r>
          <w:rPr>
            <w:rFonts w:eastAsiaTheme="minorEastAsia" w:cstheme="minorBidi"/>
            <w:noProof/>
            <w:color w:val="auto"/>
            <w:kern w:val="2"/>
            <w:sz w:val="22"/>
            <w:szCs w:val="22"/>
            <w:lang w:eastAsia="en-CA"/>
            <w14:ligatures w14:val="standardContextual"/>
          </w:rPr>
          <w:tab/>
        </w:r>
        <w:r w:rsidRPr="00393B4F">
          <w:rPr>
            <w:rStyle w:val="Hyperlink"/>
            <w:noProof/>
          </w:rPr>
          <w:t>Area Rating</w:t>
        </w:r>
        <w:r>
          <w:rPr>
            <w:noProof/>
            <w:webHidden/>
          </w:rPr>
          <w:tab/>
        </w:r>
        <w:r>
          <w:rPr>
            <w:noProof/>
            <w:webHidden/>
          </w:rPr>
          <w:fldChar w:fldCharType="begin"/>
        </w:r>
        <w:r>
          <w:rPr>
            <w:noProof/>
            <w:webHidden/>
          </w:rPr>
          <w:instrText xml:space="preserve"> PAGEREF _Toc154068805 \h </w:instrText>
        </w:r>
        <w:r>
          <w:rPr>
            <w:noProof/>
            <w:webHidden/>
          </w:rPr>
        </w:r>
        <w:r>
          <w:rPr>
            <w:noProof/>
            <w:webHidden/>
          </w:rPr>
          <w:fldChar w:fldCharType="separate"/>
        </w:r>
        <w:r w:rsidR="00504826">
          <w:rPr>
            <w:noProof/>
            <w:webHidden/>
          </w:rPr>
          <w:t>7-9</w:t>
        </w:r>
        <w:r>
          <w:rPr>
            <w:noProof/>
            <w:webHidden/>
          </w:rPr>
          <w:fldChar w:fldCharType="end"/>
        </w:r>
      </w:hyperlink>
    </w:p>
    <w:p w14:paraId="7F43DA4A" w14:textId="0E068462"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806" w:history="1">
        <w:r w:rsidRPr="00393B4F">
          <w:rPr>
            <w:rStyle w:val="Hyperlink"/>
            <w:noProof/>
          </w:rPr>
          <w:t>7.5</w:t>
        </w:r>
        <w:r>
          <w:rPr>
            <w:rFonts w:eastAsiaTheme="minorEastAsia" w:cstheme="minorBidi"/>
            <w:iCs w:val="0"/>
            <w:noProof/>
            <w:color w:val="auto"/>
            <w:kern w:val="2"/>
            <w:sz w:val="22"/>
            <w:szCs w:val="22"/>
            <w:lang w:eastAsia="en-CA"/>
            <w14:ligatures w14:val="standardContextual"/>
          </w:rPr>
          <w:tab/>
        </w:r>
        <w:r w:rsidRPr="00393B4F">
          <w:rPr>
            <w:rStyle w:val="Hyperlink"/>
            <w:noProof/>
          </w:rPr>
          <w:t>Other Recommendations</w:t>
        </w:r>
        <w:r>
          <w:rPr>
            <w:noProof/>
            <w:webHidden/>
          </w:rPr>
          <w:tab/>
        </w:r>
        <w:r>
          <w:rPr>
            <w:noProof/>
            <w:webHidden/>
          </w:rPr>
          <w:fldChar w:fldCharType="begin"/>
        </w:r>
        <w:r>
          <w:rPr>
            <w:noProof/>
            <w:webHidden/>
          </w:rPr>
          <w:instrText xml:space="preserve"> PAGEREF _Toc154068806 \h </w:instrText>
        </w:r>
        <w:r>
          <w:rPr>
            <w:noProof/>
            <w:webHidden/>
          </w:rPr>
        </w:r>
        <w:r>
          <w:rPr>
            <w:noProof/>
            <w:webHidden/>
          </w:rPr>
          <w:fldChar w:fldCharType="separate"/>
        </w:r>
        <w:r w:rsidR="00504826">
          <w:rPr>
            <w:noProof/>
            <w:webHidden/>
          </w:rPr>
          <w:t>7-10</w:t>
        </w:r>
        <w:r>
          <w:rPr>
            <w:noProof/>
            <w:webHidden/>
          </w:rPr>
          <w:fldChar w:fldCharType="end"/>
        </w:r>
      </w:hyperlink>
    </w:p>
    <w:p w14:paraId="691A5645" w14:textId="568DC62C" w:rsidR="007A4683" w:rsidRDefault="007A4683">
      <w:pPr>
        <w:pStyle w:val="TOC1"/>
        <w:rPr>
          <w:rFonts w:eastAsiaTheme="minorEastAsia" w:cstheme="minorBidi"/>
          <w:b w:val="0"/>
          <w:bCs w:val="0"/>
          <w:noProof/>
          <w:color w:val="auto"/>
          <w:kern w:val="2"/>
          <w:sz w:val="22"/>
          <w:szCs w:val="22"/>
          <w:lang w:eastAsia="en-CA"/>
          <w14:ligatures w14:val="standardContextual"/>
        </w:rPr>
      </w:pPr>
      <w:hyperlink w:anchor="_Toc154068807" w:history="1">
        <w:r w:rsidRPr="00393B4F">
          <w:rPr>
            <w:rStyle w:val="Hyperlink"/>
            <w:noProof/>
          </w:rPr>
          <w:t>8.</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By-law Implementation</w:t>
        </w:r>
        <w:r>
          <w:rPr>
            <w:noProof/>
            <w:webHidden/>
          </w:rPr>
          <w:tab/>
        </w:r>
        <w:r>
          <w:rPr>
            <w:noProof/>
            <w:webHidden/>
          </w:rPr>
          <w:fldChar w:fldCharType="begin"/>
        </w:r>
        <w:r>
          <w:rPr>
            <w:noProof/>
            <w:webHidden/>
          </w:rPr>
          <w:instrText xml:space="preserve"> PAGEREF _Toc154068807 \h </w:instrText>
        </w:r>
        <w:r>
          <w:rPr>
            <w:noProof/>
            <w:webHidden/>
          </w:rPr>
        </w:r>
        <w:r>
          <w:rPr>
            <w:noProof/>
            <w:webHidden/>
          </w:rPr>
          <w:fldChar w:fldCharType="separate"/>
        </w:r>
        <w:r w:rsidR="00504826">
          <w:rPr>
            <w:noProof/>
            <w:webHidden/>
          </w:rPr>
          <w:t>8-1</w:t>
        </w:r>
        <w:r>
          <w:rPr>
            <w:noProof/>
            <w:webHidden/>
          </w:rPr>
          <w:fldChar w:fldCharType="end"/>
        </w:r>
      </w:hyperlink>
    </w:p>
    <w:p w14:paraId="326C8BFB" w14:textId="32130A33"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808" w:history="1">
        <w:r w:rsidRPr="00393B4F">
          <w:rPr>
            <w:rStyle w:val="Hyperlink"/>
            <w:noProof/>
          </w:rPr>
          <w:t>8.1</w:t>
        </w:r>
        <w:r>
          <w:rPr>
            <w:rFonts w:eastAsiaTheme="minorEastAsia" w:cstheme="minorBidi"/>
            <w:iCs w:val="0"/>
            <w:noProof/>
            <w:color w:val="auto"/>
            <w:kern w:val="2"/>
            <w:sz w:val="22"/>
            <w:szCs w:val="22"/>
            <w:lang w:eastAsia="en-CA"/>
            <w14:ligatures w14:val="standardContextual"/>
          </w:rPr>
          <w:tab/>
        </w:r>
        <w:r w:rsidRPr="00393B4F">
          <w:rPr>
            <w:rStyle w:val="Hyperlink"/>
            <w:noProof/>
          </w:rPr>
          <w:t>Public Consultation Process</w:t>
        </w:r>
        <w:r>
          <w:rPr>
            <w:noProof/>
            <w:webHidden/>
          </w:rPr>
          <w:tab/>
        </w:r>
        <w:r>
          <w:rPr>
            <w:noProof/>
            <w:webHidden/>
          </w:rPr>
          <w:fldChar w:fldCharType="begin"/>
        </w:r>
        <w:r>
          <w:rPr>
            <w:noProof/>
            <w:webHidden/>
          </w:rPr>
          <w:instrText xml:space="preserve"> PAGEREF _Toc154068808 \h </w:instrText>
        </w:r>
        <w:r>
          <w:rPr>
            <w:noProof/>
            <w:webHidden/>
          </w:rPr>
        </w:r>
        <w:r>
          <w:rPr>
            <w:noProof/>
            <w:webHidden/>
          </w:rPr>
          <w:fldChar w:fldCharType="separate"/>
        </w:r>
        <w:r w:rsidR="00504826">
          <w:rPr>
            <w:noProof/>
            <w:webHidden/>
          </w:rPr>
          <w:t>8-1</w:t>
        </w:r>
        <w:r>
          <w:rPr>
            <w:noProof/>
            <w:webHidden/>
          </w:rPr>
          <w:fldChar w:fldCharType="end"/>
        </w:r>
      </w:hyperlink>
    </w:p>
    <w:p w14:paraId="0942D9C7" w14:textId="50989333" w:rsidR="007A4683" w:rsidRDefault="007A4683">
      <w:pPr>
        <w:pStyle w:val="TOC3"/>
        <w:rPr>
          <w:rFonts w:eastAsiaTheme="minorEastAsia" w:cstheme="minorBidi"/>
          <w:noProof/>
          <w:color w:val="auto"/>
          <w:kern w:val="2"/>
          <w:sz w:val="22"/>
          <w:szCs w:val="22"/>
          <w:lang w:eastAsia="en-CA"/>
          <w14:ligatures w14:val="standardContextual"/>
        </w:rPr>
      </w:pPr>
      <w:hyperlink w:anchor="_Toc154068809" w:history="1">
        <w:r w:rsidRPr="00393B4F">
          <w:rPr>
            <w:rStyle w:val="Hyperlink"/>
            <w:noProof/>
          </w:rPr>
          <w:t>8.1.1</w:t>
        </w:r>
        <w:r>
          <w:rPr>
            <w:rFonts w:eastAsiaTheme="minorEastAsia" w:cstheme="minorBidi"/>
            <w:noProof/>
            <w:color w:val="auto"/>
            <w:kern w:val="2"/>
            <w:sz w:val="22"/>
            <w:szCs w:val="22"/>
            <w:lang w:eastAsia="en-CA"/>
            <w14:ligatures w14:val="standardContextual"/>
          </w:rPr>
          <w:tab/>
        </w:r>
        <w:r w:rsidRPr="00393B4F">
          <w:rPr>
            <w:rStyle w:val="Hyperlink"/>
            <w:noProof/>
          </w:rPr>
          <w:t>Introduction</w:t>
        </w:r>
        <w:r>
          <w:rPr>
            <w:noProof/>
            <w:webHidden/>
          </w:rPr>
          <w:tab/>
        </w:r>
        <w:r>
          <w:rPr>
            <w:noProof/>
            <w:webHidden/>
          </w:rPr>
          <w:fldChar w:fldCharType="begin"/>
        </w:r>
        <w:r>
          <w:rPr>
            <w:noProof/>
            <w:webHidden/>
          </w:rPr>
          <w:instrText xml:space="preserve"> PAGEREF _Toc154068809 \h </w:instrText>
        </w:r>
        <w:r>
          <w:rPr>
            <w:noProof/>
            <w:webHidden/>
          </w:rPr>
        </w:r>
        <w:r>
          <w:rPr>
            <w:noProof/>
            <w:webHidden/>
          </w:rPr>
          <w:fldChar w:fldCharType="separate"/>
        </w:r>
        <w:r w:rsidR="00504826">
          <w:rPr>
            <w:noProof/>
            <w:webHidden/>
          </w:rPr>
          <w:t>8-1</w:t>
        </w:r>
        <w:r>
          <w:rPr>
            <w:noProof/>
            <w:webHidden/>
          </w:rPr>
          <w:fldChar w:fldCharType="end"/>
        </w:r>
      </w:hyperlink>
    </w:p>
    <w:p w14:paraId="64A9669B" w14:textId="181CBB98" w:rsidR="007A4683" w:rsidRDefault="007A4683">
      <w:pPr>
        <w:pStyle w:val="TOC3"/>
        <w:rPr>
          <w:rFonts w:eastAsiaTheme="minorEastAsia" w:cstheme="minorBidi"/>
          <w:noProof/>
          <w:color w:val="auto"/>
          <w:kern w:val="2"/>
          <w:sz w:val="22"/>
          <w:szCs w:val="22"/>
          <w:lang w:eastAsia="en-CA"/>
          <w14:ligatures w14:val="standardContextual"/>
        </w:rPr>
      </w:pPr>
      <w:hyperlink w:anchor="_Toc154068810" w:history="1">
        <w:r w:rsidRPr="00393B4F">
          <w:rPr>
            <w:rStyle w:val="Hyperlink"/>
            <w:noProof/>
          </w:rPr>
          <w:t>8.1.2</w:t>
        </w:r>
        <w:r>
          <w:rPr>
            <w:rFonts w:eastAsiaTheme="minorEastAsia" w:cstheme="minorBidi"/>
            <w:noProof/>
            <w:color w:val="auto"/>
            <w:kern w:val="2"/>
            <w:sz w:val="22"/>
            <w:szCs w:val="22"/>
            <w:lang w:eastAsia="en-CA"/>
            <w14:ligatures w14:val="standardContextual"/>
          </w:rPr>
          <w:tab/>
        </w:r>
        <w:r w:rsidRPr="00393B4F">
          <w:rPr>
            <w:rStyle w:val="Hyperlink"/>
            <w:noProof/>
          </w:rPr>
          <w:t>Public Meeting of Council</w:t>
        </w:r>
        <w:r>
          <w:rPr>
            <w:noProof/>
            <w:webHidden/>
          </w:rPr>
          <w:tab/>
        </w:r>
        <w:r>
          <w:rPr>
            <w:noProof/>
            <w:webHidden/>
          </w:rPr>
          <w:fldChar w:fldCharType="begin"/>
        </w:r>
        <w:r>
          <w:rPr>
            <w:noProof/>
            <w:webHidden/>
          </w:rPr>
          <w:instrText xml:space="preserve"> PAGEREF _Toc154068810 \h </w:instrText>
        </w:r>
        <w:r>
          <w:rPr>
            <w:noProof/>
            <w:webHidden/>
          </w:rPr>
        </w:r>
        <w:r>
          <w:rPr>
            <w:noProof/>
            <w:webHidden/>
          </w:rPr>
          <w:fldChar w:fldCharType="separate"/>
        </w:r>
        <w:r w:rsidR="00504826">
          <w:rPr>
            <w:noProof/>
            <w:webHidden/>
          </w:rPr>
          <w:t>8-1</w:t>
        </w:r>
        <w:r>
          <w:rPr>
            <w:noProof/>
            <w:webHidden/>
          </w:rPr>
          <w:fldChar w:fldCharType="end"/>
        </w:r>
      </w:hyperlink>
    </w:p>
    <w:p w14:paraId="51D234CE" w14:textId="68DAF442" w:rsidR="007A4683" w:rsidRDefault="007A4683">
      <w:pPr>
        <w:pStyle w:val="TOC3"/>
        <w:rPr>
          <w:rFonts w:eastAsiaTheme="minorEastAsia" w:cstheme="minorBidi"/>
          <w:noProof/>
          <w:color w:val="auto"/>
          <w:kern w:val="2"/>
          <w:sz w:val="22"/>
          <w:szCs w:val="22"/>
          <w:lang w:eastAsia="en-CA"/>
          <w14:ligatures w14:val="standardContextual"/>
        </w:rPr>
      </w:pPr>
      <w:hyperlink w:anchor="_Toc154068811" w:history="1">
        <w:r w:rsidRPr="00393B4F">
          <w:rPr>
            <w:rStyle w:val="Hyperlink"/>
            <w:noProof/>
          </w:rPr>
          <w:t>8.1.3</w:t>
        </w:r>
        <w:r>
          <w:rPr>
            <w:rFonts w:eastAsiaTheme="minorEastAsia" w:cstheme="minorBidi"/>
            <w:noProof/>
            <w:color w:val="auto"/>
            <w:kern w:val="2"/>
            <w:sz w:val="22"/>
            <w:szCs w:val="22"/>
            <w:lang w:eastAsia="en-CA"/>
            <w14:ligatures w14:val="standardContextual"/>
          </w:rPr>
          <w:tab/>
        </w:r>
        <w:r w:rsidRPr="00393B4F">
          <w:rPr>
            <w:rStyle w:val="Hyperlink"/>
            <w:noProof/>
          </w:rPr>
          <w:t>Other Consultation Activity</w:t>
        </w:r>
        <w:r>
          <w:rPr>
            <w:noProof/>
            <w:webHidden/>
          </w:rPr>
          <w:tab/>
        </w:r>
        <w:r>
          <w:rPr>
            <w:noProof/>
            <w:webHidden/>
          </w:rPr>
          <w:fldChar w:fldCharType="begin"/>
        </w:r>
        <w:r>
          <w:rPr>
            <w:noProof/>
            <w:webHidden/>
          </w:rPr>
          <w:instrText xml:space="preserve"> PAGEREF _Toc154068811 \h </w:instrText>
        </w:r>
        <w:r>
          <w:rPr>
            <w:noProof/>
            <w:webHidden/>
          </w:rPr>
        </w:r>
        <w:r>
          <w:rPr>
            <w:noProof/>
            <w:webHidden/>
          </w:rPr>
          <w:fldChar w:fldCharType="separate"/>
        </w:r>
        <w:r w:rsidR="00504826">
          <w:rPr>
            <w:noProof/>
            <w:webHidden/>
          </w:rPr>
          <w:t>8-1</w:t>
        </w:r>
        <w:r>
          <w:rPr>
            <w:noProof/>
            <w:webHidden/>
          </w:rPr>
          <w:fldChar w:fldCharType="end"/>
        </w:r>
      </w:hyperlink>
    </w:p>
    <w:p w14:paraId="08409D47" w14:textId="5DA365E2"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812" w:history="1">
        <w:r w:rsidRPr="00393B4F">
          <w:rPr>
            <w:rStyle w:val="Hyperlink"/>
            <w:noProof/>
          </w:rPr>
          <w:t>8.2</w:t>
        </w:r>
        <w:r>
          <w:rPr>
            <w:rFonts w:eastAsiaTheme="minorEastAsia" w:cstheme="minorBidi"/>
            <w:iCs w:val="0"/>
            <w:noProof/>
            <w:color w:val="auto"/>
            <w:kern w:val="2"/>
            <w:sz w:val="22"/>
            <w:szCs w:val="22"/>
            <w:lang w:eastAsia="en-CA"/>
            <w14:ligatures w14:val="standardContextual"/>
          </w:rPr>
          <w:tab/>
        </w:r>
        <w:r w:rsidRPr="00393B4F">
          <w:rPr>
            <w:rStyle w:val="Hyperlink"/>
            <w:noProof/>
          </w:rPr>
          <w:t>Anticipated Impact of the Charge on Development</w:t>
        </w:r>
        <w:r>
          <w:rPr>
            <w:noProof/>
            <w:webHidden/>
          </w:rPr>
          <w:tab/>
        </w:r>
        <w:r>
          <w:rPr>
            <w:noProof/>
            <w:webHidden/>
          </w:rPr>
          <w:fldChar w:fldCharType="begin"/>
        </w:r>
        <w:r>
          <w:rPr>
            <w:noProof/>
            <w:webHidden/>
          </w:rPr>
          <w:instrText xml:space="preserve"> PAGEREF _Toc154068812 \h </w:instrText>
        </w:r>
        <w:r>
          <w:rPr>
            <w:noProof/>
            <w:webHidden/>
          </w:rPr>
        </w:r>
        <w:r>
          <w:rPr>
            <w:noProof/>
            <w:webHidden/>
          </w:rPr>
          <w:fldChar w:fldCharType="separate"/>
        </w:r>
        <w:r w:rsidR="00504826">
          <w:rPr>
            <w:noProof/>
            <w:webHidden/>
          </w:rPr>
          <w:t>8-2</w:t>
        </w:r>
        <w:r>
          <w:rPr>
            <w:noProof/>
            <w:webHidden/>
          </w:rPr>
          <w:fldChar w:fldCharType="end"/>
        </w:r>
      </w:hyperlink>
    </w:p>
    <w:p w14:paraId="31DE697C" w14:textId="6D70A8BC" w:rsidR="007A4683" w:rsidRDefault="007A4683">
      <w:pPr>
        <w:pStyle w:val="TOC2"/>
        <w:tabs>
          <w:tab w:val="left" w:pos="1440"/>
          <w:tab w:val="right" w:leader="dot" w:pos="9350"/>
        </w:tabs>
        <w:rPr>
          <w:rFonts w:eastAsiaTheme="minorEastAsia" w:cstheme="minorBidi"/>
          <w:iCs w:val="0"/>
          <w:noProof/>
          <w:color w:val="auto"/>
          <w:kern w:val="2"/>
          <w:sz w:val="22"/>
          <w:szCs w:val="22"/>
          <w:lang w:eastAsia="en-CA"/>
          <w14:ligatures w14:val="standardContextual"/>
        </w:rPr>
      </w:pPr>
      <w:hyperlink w:anchor="_Toc154068813" w:history="1">
        <w:r w:rsidRPr="00393B4F">
          <w:rPr>
            <w:rStyle w:val="Hyperlink"/>
            <w:noProof/>
          </w:rPr>
          <w:t>8.3</w:t>
        </w:r>
        <w:r>
          <w:rPr>
            <w:rFonts w:eastAsiaTheme="minorEastAsia" w:cstheme="minorBidi"/>
            <w:iCs w:val="0"/>
            <w:noProof/>
            <w:color w:val="auto"/>
            <w:kern w:val="2"/>
            <w:sz w:val="22"/>
            <w:szCs w:val="22"/>
            <w:lang w:eastAsia="en-CA"/>
            <w14:ligatures w14:val="standardContextual"/>
          </w:rPr>
          <w:tab/>
        </w:r>
        <w:r w:rsidRPr="00393B4F">
          <w:rPr>
            <w:rStyle w:val="Hyperlink"/>
            <w:noProof/>
          </w:rPr>
          <w:t>Implementation Requirements</w:t>
        </w:r>
        <w:r>
          <w:rPr>
            <w:noProof/>
            <w:webHidden/>
          </w:rPr>
          <w:tab/>
        </w:r>
        <w:r>
          <w:rPr>
            <w:noProof/>
            <w:webHidden/>
          </w:rPr>
          <w:fldChar w:fldCharType="begin"/>
        </w:r>
        <w:r>
          <w:rPr>
            <w:noProof/>
            <w:webHidden/>
          </w:rPr>
          <w:instrText xml:space="preserve"> PAGEREF _Toc154068813 \h </w:instrText>
        </w:r>
        <w:r>
          <w:rPr>
            <w:noProof/>
            <w:webHidden/>
          </w:rPr>
        </w:r>
        <w:r>
          <w:rPr>
            <w:noProof/>
            <w:webHidden/>
          </w:rPr>
          <w:fldChar w:fldCharType="separate"/>
        </w:r>
        <w:r w:rsidR="00504826">
          <w:rPr>
            <w:noProof/>
            <w:webHidden/>
          </w:rPr>
          <w:t>8-3</w:t>
        </w:r>
        <w:r>
          <w:rPr>
            <w:noProof/>
            <w:webHidden/>
          </w:rPr>
          <w:fldChar w:fldCharType="end"/>
        </w:r>
      </w:hyperlink>
    </w:p>
    <w:p w14:paraId="3C8198D5" w14:textId="06D9A719" w:rsidR="007A4683" w:rsidRDefault="007A4683">
      <w:pPr>
        <w:pStyle w:val="TOC3"/>
        <w:rPr>
          <w:rFonts w:eastAsiaTheme="minorEastAsia" w:cstheme="minorBidi"/>
          <w:noProof/>
          <w:color w:val="auto"/>
          <w:kern w:val="2"/>
          <w:sz w:val="22"/>
          <w:szCs w:val="22"/>
          <w:lang w:eastAsia="en-CA"/>
          <w14:ligatures w14:val="standardContextual"/>
        </w:rPr>
      </w:pPr>
      <w:hyperlink w:anchor="_Toc154068814" w:history="1">
        <w:r w:rsidRPr="00393B4F">
          <w:rPr>
            <w:rStyle w:val="Hyperlink"/>
            <w:noProof/>
          </w:rPr>
          <w:t>8.3.1</w:t>
        </w:r>
        <w:r>
          <w:rPr>
            <w:rFonts w:eastAsiaTheme="minorEastAsia" w:cstheme="minorBidi"/>
            <w:noProof/>
            <w:color w:val="auto"/>
            <w:kern w:val="2"/>
            <w:sz w:val="22"/>
            <w:szCs w:val="22"/>
            <w:lang w:eastAsia="en-CA"/>
            <w14:ligatures w14:val="standardContextual"/>
          </w:rPr>
          <w:tab/>
        </w:r>
        <w:r w:rsidRPr="00393B4F">
          <w:rPr>
            <w:rStyle w:val="Hyperlink"/>
            <w:noProof/>
          </w:rPr>
          <w:t>Introduction</w:t>
        </w:r>
        <w:r>
          <w:rPr>
            <w:noProof/>
            <w:webHidden/>
          </w:rPr>
          <w:tab/>
        </w:r>
        <w:r>
          <w:rPr>
            <w:noProof/>
            <w:webHidden/>
          </w:rPr>
          <w:fldChar w:fldCharType="begin"/>
        </w:r>
        <w:r>
          <w:rPr>
            <w:noProof/>
            <w:webHidden/>
          </w:rPr>
          <w:instrText xml:space="preserve"> PAGEREF _Toc154068814 \h </w:instrText>
        </w:r>
        <w:r>
          <w:rPr>
            <w:noProof/>
            <w:webHidden/>
          </w:rPr>
        </w:r>
        <w:r>
          <w:rPr>
            <w:noProof/>
            <w:webHidden/>
          </w:rPr>
          <w:fldChar w:fldCharType="separate"/>
        </w:r>
        <w:r w:rsidR="00504826">
          <w:rPr>
            <w:noProof/>
            <w:webHidden/>
          </w:rPr>
          <w:t>8-3</w:t>
        </w:r>
        <w:r>
          <w:rPr>
            <w:noProof/>
            <w:webHidden/>
          </w:rPr>
          <w:fldChar w:fldCharType="end"/>
        </w:r>
      </w:hyperlink>
    </w:p>
    <w:p w14:paraId="52D0F49A" w14:textId="0887C789" w:rsidR="007A4683" w:rsidRDefault="007A4683">
      <w:pPr>
        <w:pStyle w:val="TOC3"/>
        <w:rPr>
          <w:rFonts w:eastAsiaTheme="minorEastAsia" w:cstheme="minorBidi"/>
          <w:noProof/>
          <w:color w:val="auto"/>
          <w:kern w:val="2"/>
          <w:sz w:val="22"/>
          <w:szCs w:val="22"/>
          <w:lang w:eastAsia="en-CA"/>
          <w14:ligatures w14:val="standardContextual"/>
        </w:rPr>
      </w:pPr>
      <w:hyperlink w:anchor="_Toc154068815" w:history="1">
        <w:r w:rsidRPr="00393B4F">
          <w:rPr>
            <w:rStyle w:val="Hyperlink"/>
            <w:smallCaps/>
            <w:noProof/>
          </w:rPr>
          <w:t>8.3.2</w:t>
        </w:r>
        <w:r>
          <w:rPr>
            <w:rFonts w:eastAsiaTheme="minorEastAsia" w:cstheme="minorBidi"/>
            <w:noProof/>
            <w:color w:val="auto"/>
            <w:kern w:val="2"/>
            <w:sz w:val="22"/>
            <w:szCs w:val="22"/>
            <w:lang w:eastAsia="en-CA"/>
            <w14:ligatures w14:val="standardContextual"/>
          </w:rPr>
          <w:tab/>
        </w:r>
        <w:r w:rsidRPr="00393B4F">
          <w:rPr>
            <w:rStyle w:val="Hyperlink"/>
            <w:noProof/>
          </w:rPr>
          <w:t>Notice of Passage</w:t>
        </w:r>
        <w:r>
          <w:rPr>
            <w:noProof/>
            <w:webHidden/>
          </w:rPr>
          <w:tab/>
        </w:r>
        <w:r>
          <w:rPr>
            <w:noProof/>
            <w:webHidden/>
          </w:rPr>
          <w:fldChar w:fldCharType="begin"/>
        </w:r>
        <w:r>
          <w:rPr>
            <w:noProof/>
            <w:webHidden/>
          </w:rPr>
          <w:instrText xml:space="preserve"> PAGEREF _Toc154068815 \h </w:instrText>
        </w:r>
        <w:r>
          <w:rPr>
            <w:noProof/>
            <w:webHidden/>
          </w:rPr>
        </w:r>
        <w:r>
          <w:rPr>
            <w:noProof/>
            <w:webHidden/>
          </w:rPr>
          <w:fldChar w:fldCharType="separate"/>
        </w:r>
        <w:r w:rsidR="00504826">
          <w:rPr>
            <w:noProof/>
            <w:webHidden/>
          </w:rPr>
          <w:t>8-3</w:t>
        </w:r>
        <w:r>
          <w:rPr>
            <w:noProof/>
            <w:webHidden/>
          </w:rPr>
          <w:fldChar w:fldCharType="end"/>
        </w:r>
      </w:hyperlink>
    </w:p>
    <w:p w14:paraId="35448DE4" w14:textId="4C7FA6EE" w:rsidR="007A4683" w:rsidRDefault="007A4683">
      <w:pPr>
        <w:pStyle w:val="TOC3"/>
        <w:rPr>
          <w:rFonts w:eastAsiaTheme="minorEastAsia" w:cstheme="minorBidi"/>
          <w:noProof/>
          <w:color w:val="auto"/>
          <w:kern w:val="2"/>
          <w:sz w:val="22"/>
          <w:szCs w:val="22"/>
          <w:lang w:eastAsia="en-CA"/>
          <w14:ligatures w14:val="standardContextual"/>
        </w:rPr>
      </w:pPr>
      <w:hyperlink w:anchor="_Toc154068816" w:history="1">
        <w:r w:rsidRPr="00393B4F">
          <w:rPr>
            <w:rStyle w:val="Hyperlink"/>
            <w:smallCaps/>
            <w:noProof/>
          </w:rPr>
          <w:t>8.3.3</w:t>
        </w:r>
        <w:r>
          <w:rPr>
            <w:rFonts w:eastAsiaTheme="minorEastAsia" w:cstheme="minorBidi"/>
            <w:noProof/>
            <w:color w:val="auto"/>
            <w:kern w:val="2"/>
            <w:sz w:val="22"/>
            <w:szCs w:val="22"/>
            <w:lang w:eastAsia="en-CA"/>
            <w14:ligatures w14:val="standardContextual"/>
          </w:rPr>
          <w:tab/>
        </w:r>
        <w:r w:rsidRPr="00393B4F">
          <w:rPr>
            <w:rStyle w:val="Hyperlink"/>
            <w:noProof/>
          </w:rPr>
          <w:t>By-law Pamphlet</w:t>
        </w:r>
        <w:r>
          <w:rPr>
            <w:noProof/>
            <w:webHidden/>
          </w:rPr>
          <w:tab/>
        </w:r>
        <w:r>
          <w:rPr>
            <w:noProof/>
            <w:webHidden/>
          </w:rPr>
          <w:fldChar w:fldCharType="begin"/>
        </w:r>
        <w:r>
          <w:rPr>
            <w:noProof/>
            <w:webHidden/>
          </w:rPr>
          <w:instrText xml:space="preserve"> PAGEREF _Toc154068816 \h </w:instrText>
        </w:r>
        <w:r>
          <w:rPr>
            <w:noProof/>
            <w:webHidden/>
          </w:rPr>
        </w:r>
        <w:r>
          <w:rPr>
            <w:noProof/>
            <w:webHidden/>
          </w:rPr>
          <w:fldChar w:fldCharType="separate"/>
        </w:r>
        <w:r w:rsidR="00504826">
          <w:rPr>
            <w:noProof/>
            <w:webHidden/>
          </w:rPr>
          <w:t>8-3</w:t>
        </w:r>
        <w:r>
          <w:rPr>
            <w:noProof/>
            <w:webHidden/>
          </w:rPr>
          <w:fldChar w:fldCharType="end"/>
        </w:r>
      </w:hyperlink>
    </w:p>
    <w:p w14:paraId="2204246B" w14:textId="5A61DFC0" w:rsidR="007A4683" w:rsidRDefault="007A4683">
      <w:pPr>
        <w:pStyle w:val="TOC3"/>
        <w:rPr>
          <w:rFonts w:eastAsiaTheme="minorEastAsia" w:cstheme="minorBidi"/>
          <w:noProof/>
          <w:color w:val="auto"/>
          <w:kern w:val="2"/>
          <w:sz w:val="22"/>
          <w:szCs w:val="22"/>
          <w:lang w:eastAsia="en-CA"/>
          <w14:ligatures w14:val="standardContextual"/>
        </w:rPr>
      </w:pPr>
      <w:hyperlink w:anchor="_Toc154068817" w:history="1">
        <w:r w:rsidRPr="00393B4F">
          <w:rPr>
            <w:rStyle w:val="Hyperlink"/>
            <w:smallCaps/>
            <w:noProof/>
          </w:rPr>
          <w:t>8.3.4</w:t>
        </w:r>
        <w:r>
          <w:rPr>
            <w:rFonts w:eastAsiaTheme="minorEastAsia" w:cstheme="minorBidi"/>
            <w:noProof/>
            <w:color w:val="auto"/>
            <w:kern w:val="2"/>
            <w:sz w:val="22"/>
            <w:szCs w:val="22"/>
            <w:lang w:eastAsia="en-CA"/>
            <w14:ligatures w14:val="standardContextual"/>
          </w:rPr>
          <w:tab/>
        </w:r>
        <w:r w:rsidRPr="00393B4F">
          <w:rPr>
            <w:rStyle w:val="Hyperlink"/>
            <w:noProof/>
          </w:rPr>
          <w:t>Appeals</w:t>
        </w:r>
        <w:r>
          <w:rPr>
            <w:noProof/>
            <w:webHidden/>
          </w:rPr>
          <w:tab/>
        </w:r>
        <w:r>
          <w:rPr>
            <w:noProof/>
            <w:webHidden/>
          </w:rPr>
          <w:fldChar w:fldCharType="begin"/>
        </w:r>
        <w:r>
          <w:rPr>
            <w:noProof/>
            <w:webHidden/>
          </w:rPr>
          <w:instrText xml:space="preserve"> PAGEREF _Toc154068817 \h </w:instrText>
        </w:r>
        <w:r>
          <w:rPr>
            <w:noProof/>
            <w:webHidden/>
          </w:rPr>
        </w:r>
        <w:r>
          <w:rPr>
            <w:noProof/>
            <w:webHidden/>
          </w:rPr>
          <w:fldChar w:fldCharType="separate"/>
        </w:r>
        <w:r w:rsidR="00504826">
          <w:rPr>
            <w:noProof/>
            <w:webHidden/>
          </w:rPr>
          <w:t>8-4</w:t>
        </w:r>
        <w:r>
          <w:rPr>
            <w:noProof/>
            <w:webHidden/>
          </w:rPr>
          <w:fldChar w:fldCharType="end"/>
        </w:r>
      </w:hyperlink>
    </w:p>
    <w:p w14:paraId="13F5E661" w14:textId="434B4A84" w:rsidR="007A4683" w:rsidRDefault="007A4683">
      <w:pPr>
        <w:pStyle w:val="TOC3"/>
        <w:rPr>
          <w:rFonts w:eastAsiaTheme="minorEastAsia" w:cstheme="minorBidi"/>
          <w:noProof/>
          <w:color w:val="auto"/>
          <w:kern w:val="2"/>
          <w:sz w:val="22"/>
          <w:szCs w:val="22"/>
          <w:lang w:eastAsia="en-CA"/>
          <w14:ligatures w14:val="standardContextual"/>
        </w:rPr>
      </w:pPr>
      <w:hyperlink w:anchor="_Toc154068818" w:history="1">
        <w:r w:rsidRPr="00393B4F">
          <w:rPr>
            <w:rStyle w:val="Hyperlink"/>
            <w:smallCaps/>
            <w:noProof/>
          </w:rPr>
          <w:t>8.3.5</w:t>
        </w:r>
        <w:r>
          <w:rPr>
            <w:rFonts w:eastAsiaTheme="minorEastAsia" w:cstheme="minorBidi"/>
            <w:noProof/>
            <w:color w:val="auto"/>
            <w:kern w:val="2"/>
            <w:sz w:val="22"/>
            <w:szCs w:val="22"/>
            <w:lang w:eastAsia="en-CA"/>
            <w14:ligatures w14:val="standardContextual"/>
          </w:rPr>
          <w:tab/>
        </w:r>
        <w:r w:rsidRPr="00393B4F">
          <w:rPr>
            <w:rStyle w:val="Hyperlink"/>
            <w:noProof/>
          </w:rPr>
          <w:t>Complaints</w:t>
        </w:r>
        <w:r>
          <w:rPr>
            <w:noProof/>
            <w:webHidden/>
          </w:rPr>
          <w:tab/>
        </w:r>
        <w:r>
          <w:rPr>
            <w:noProof/>
            <w:webHidden/>
          </w:rPr>
          <w:fldChar w:fldCharType="begin"/>
        </w:r>
        <w:r>
          <w:rPr>
            <w:noProof/>
            <w:webHidden/>
          </w:rPr>
          <w:instrText xml:space="preserve"> PAGEREF _Toc154068818 \h </w:instrText>
        </w:r>
        <w:r>
          <w:rPr>
            <w:noProof/>
            <w:webHidden/>
          </w:rPr>
        </w:r>
        <w:r>
          <w:rPr>
            <w:noProof/>
            <w:webHidden/>
          </w:rPr>
          <w:fldChar w:fldCharType="separate"/>
        </w:r>
        <w:r w:rsidR="00504826">
          <w:rPr>
            <w:noProof/>
            <w:webHidden/>
          </w:rPr>
          <w:t>8-4</w:t>
        </w:r>
        <w:r>
          <w:rPr>
            <w:noProof/>
            <w:webHidden/>
          </w:rPr>
          <w:fldChar w:fldCharType="end"/>
        </w:r>
      </w:hyperlink>
    </w:p>
    <w:p w14:paraId="5B93D1FB" w14:textId="6E29A5BF" w:rsidR="007A4683" w:rsidRDefault="007A4683">
      <w:pPr>
        <w:pStyle w:val="TOC3"/>
        <w:rPr>
          <w:rFonts w:eastAsiaTheme="minorEastAsia" w:cstheme="minorBidi"/>
          <w:noProof/>
          <w:color w:val="auto"/>
          <w:kern w:val="2"/>
          <w:sz w:val="22"/>
          <w:szCs w:val="22"/>
          <w:lang w:eastAsia="en-CA"/>
          <w14:ligatures w14:val="standardContextual"/>
        </w:rPr>
      </w:pPr>
      <w:hyperlink w:anchor="_Toc154068819" w:history="1">
        <w:r w:rsidRPr="00393B4F">
          <w:rPr>
            <w:rStyle w:val="Hyperlink"/>
            <w:smallCaps/>
            <w:noProof/>
          </w:rPr>
          <w:t>8.3.6</w:t>
        </w:r>
        <w:r>
          <w:rPr>
            <w:rFonts w:eastAsiaTheme="minorEastAsia" w:cstheme="minorBidi"/>
            <w:noProof/>
            <w:color w:val="auto"/>
            <w:kern w:val="2"/>
            <w:sz w:val="22"/>
            <w:szCs w:val="22"/>
            <w:lang w:eastAsia="en-CA"/>
            <w14:ligatures w14:val="standardContextual"/>
          </w:rPr>
          <w:tab/>
        </w:r>
        <w:r w:rsidRPr="00393B4F">
          <w:rPr>
            <w:rStyle w:val="Hyperlink"/>
            <w:noProof/>
          </w:rPr>
          <w:t>Credits</w:t>
        </w:r>
        <w:r>
          <w:rPr>
            <w:noProof/>
            <w:webHidden/>
          </w:rPr>
          <w:tab/>
        </w:r>
        <w:r>
          <w:rPr>
            <w:noProof/>
            <w:webHidden/>
          </w:rPr>
          <w:fldChar w:fldCharType="begin"/>
        </w:r>
        <w:r>
          <w:rPr>
            <w:noProof/>
            <w:webHidden/>
          </w:rPr>
          <w:instrText xml:space="preserve"> PAGEREF _Toc154068819 \h </w:instrText>
        </w:r>
        <w:r>
          <w:rPr>
            <w:noProof/>
            <w:webHidden/>
          </w:rPr>
        </w:r>
        <w:r>
          <w:rPr>
            <w:noProof/>
            <w:webHidden/>
          </w:rPr>
          <w:fldChar w:fldCharType="separate"/>
        </w:r>
        <w:r w:rsidR="00504826">
          <w:rPr>
            <w:noProof/>
            <w:webHidden/>
          </w:rPr>
          <w:t>8-5</w:t>
        </w:r>
        <w:r>
          <w:rPr>
            <w:noProof/>
            <w:webHidden/>
          </w:rPr>
          <w:fldChar w:fldCharType="end"/>
        </w:r>
      </w:hyperlink>
    </w:p>
    <w:p w14:paraId="50EB739B" w14:textId="7BD36B77" w:rsidR="007A4683" w:rsidRDefault="007A4683">
      <w:pPr>
        <w:pStyle w:val="TOC3"/>
        <w:rPr>
          <w:rFonts w:eastAsiaTheme="minorEastAsia" w:cstheme="minorBidi"/>
          <w:noProof/>
          <w:color w:val="auto"/>
          <w:kern w:val="2"/>
          <w:sz w:val="22"/>
          <w:szCs w:val="22"/>
          <w:lang w:eastAsia="en-CA"/>
          <w14:ligatures w14:val="standardContextual"/>
        </w:rPr>
      </w:pPr>
      <w:hyperlink w:anchor="_Toc154068820" w:history="1">
        <w:r w:rsidRPr="00393B4F">
          <w:rPr>
            <w:rStyle w:val="Hyperlink"/>
            <w:smallCaps/>
            <w:noProof/>
          </w:rPr>
          <w:t>8.3.7</w:t>
        </w:r>
        <w:r>
          <w:rPr>
            <w:rFonts w:eastAsiaTheme="minorEastAsia" w:cstheme="minorBidi"/>
            <w:noProof/>
            <w:color w:val="auto"/>
            <w:kern w:val="2"/>
            <w:sz w:val="22"/>
            <w:szCs w:val="22"/>
            <w:lang w:eastAsia="en-CA"/>
            <w14:ligatures w14:val="standardContextual"/>
          </w:rPr>
          <w:tab/>
        </w:r>
        <w:r w:rsidRPr="00393B4F">
          <w:rPr>
            <w:rStyle w:val="Hyperlink"/>
            <w:noProof/>
          </w:rPr>
          <w:t>Front-Ending Agreements</w:t>
        </w:r>
        <w:r>
          <w:rPr>
            <w:noProof/>
            <w:webHidden/>
          </w:rPr>
          <w:tab/>
        </w:r>
        <w:r>
          <w:rPr>
            <w:noProof/>
            <w:webHidden/>
          </w:rPr>
          <w:fldChar w:fldCharType="begin"/>
        </w:r>
        <w:r>
          <w:rPr>
            <w:noProof/>
            <w:webHidden/>
          </w:rPr>
          <w:instrText xml:space="preserve"> PAGEREF _Toc154068820 \h </w:instrText>
        </w:r>
        <w:r>
          <w:rPr>
            <w:noProof/>
            <w:webHidden/>
          </w:rPr>
        </w:r>
        <w:r>
          <w:rPr>
            <w:noProof/>
            <w:webHidden/>
          </w:rPr>
          <w:fldChar w:fldCharType="separate"/>
        </w:r>
        <w:r w:rsidR="00504826">
          <w:rPr>
            <w:noProof/>
            <w:webHidden/>
          </w:rPr>
          <w:t>8-5</w:t>
        </w:r>
        <w:r>
          <w:rPr>
            <w:noProof/>
            <w:webHidden/>
          </w:rPr>
          <w:fldChar w:fldCharType="end"/>
        </w:r>
      </w:hyperlink>
    </w:p>
    <w:p w14:paraId="73BEF0F3" w14:textId="2D967084" w:rsidR="007A4683" w:rsidRDefault="007A4683">
      <w:pPr>
        <w:pStyle w:val="TOC3"/>
        <w:rPr>
          <w:rFonts w:eastAsiaTheme="minorEastAsia" w:cstheme="minorBidi"/>
          <w:noProof/>
          <w:color w:val="auto"/>
          <w:kern w:val="2"/>
          <w:sz w:val="22"/>
          <w:szCs w:val="22"/>
          <w:lang w:eastAsia="en-CA"/>
          <w14:ligatures w14:val="standardContextual"/>
        </w:rPr>
      </w:pPr>
      <w:hyperlink w:anchor="_Toc154068821" w:history="1">
        <w:r w:rsidRPr="00393B4F">
          <w:rPr>
            <w:rStyle w:val="Hyperlink"/>
            <w:smallCaps/>
            <w:noProof/>
          </w:rPr>
          <w:t>8.3.8</w:t>
        </w:r>
        <w:r>
          <w:rPr>
            <w:rFonts w:eastAsiaTheme="minorEastAsia" w:cstheme="minorBidi"/>
            <w:noProof/>
            <w:color w:val="auto"/>
            <w:kern w:val="2"/>
            <w:sz w:val="22"/>
            <w:szCs w:val="22"/>
            <w:lang w:eastAsia="en-CA"/>
            <w14:ligatures w14:val="standardContextual"/>
          </w:rPr>
          <w:tab/>
        </w:r>
        <w:r w:rsidRPr="00393B4F">
          <w:rPr>
            <w:rStyle w:val="Hyperlink"/>
            <w:noProof/>
          </w:rPr>
          <w:t>Severance and Subdivision Agreement Conditions</w:t>
        </w:r>
        <w:r>
          <w:rPr>
            <w:noProof/>
            <w:webHidden/>
          </w:rPr>
          <w:tab/>
        </w:r>
        <w:r>
          <w:rPr>
            <w:noProof/>
            <w:webHidden/>
          </w:rPr>
          <w:fldChar w:fldCharType="begin"/>
        </w:r>
        <w:r>
          <w:rPr>
            <w:noProof/>
            <w:webHidden/>
          </w:rPr>
          <w:instrText xml:space="preserve"> PAGEREF _Toc154068821 \h </w:instrText>
        </w:r>
        <w:r>
          <w:rPr>
            <w:noProof/>
            <w:webHidden/>
          </w:rPr>
        </w:r>
        <w:r>
          <w:rPr>
            <w:noProof/>
            <w:webHidden/>
          </w:rPr>
          <w:fldChar w:fldCharType="separate"/>
        </w:r>
        <w:r w:rsidR="00504826">
          <w:rPr>
            <w:noProof/>
            <w:webHidden/>
          </w:rPr>
          <w:t>8-5</w:t>
        </w:r>
        <w:r>
          <w:rPr>
            <w:noProof/>
            <w:webHidden/>
          </w:rPr>
          <w:fldChar w:fldCharType="end"/>
        </w:r>
      </w:hyperlink>
    </w:p>
    <w:p w14:paraId="7F2E8CD7" w14:textId="39D0A962" w:rsidR="007A4683" w:rsidRDefault="007A4683">
      <w:pPr>
        <w:pStyle w:val="TOC1"/>
        <w:tabs>
          <w:tab w:val="left" w:pos="1440"/>
        </w:tabs>
        <w:rPr>
          <w:rFonts w:eastAsiaTheme="minorEastAsia" w:cstheme="minorBidi"/>
          <w:b w:val="0"/>
          <w:bCs w:val="0"/>
          <w:noProof/>
          <w:color w:val="auto"/>
          <w:kern w:val="2"/>
          <w:sz w:val="22"/>
          <w:szCs w:val="22"/>
          <w:lang w:eastAsia="en-CA"/>
          <w14:ligatures w14:val="standardContextual"/>
        </w:rPr>
      </w:pPr>
      <w:hyperlink w:anchor="_Toc154068822" w:history="1">
        <w:r w:rsidRPr="00393B4F">
          <w:rPr>
            <w:rStyle w:val="Hyperlink"/>
            <w:noProof/>
          </w:rPr>
          <w:t>Appendix A</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 xml:space="preserve"> Background Information on Residential and Non-Residential Growth Forecast</w:t>
        </w:r>
        <w:r>
          <w:rPr>
            <w:noProof/>
            <w:webHidden/>
          </w:rPr>
          <w:tab/>
          <w:t>A-</w:t>
        </w:r>
        <w:r>
          <w:rPr>
            <w:noProof/>
            <w:webHidden/>
          </w:rPr>
          <w:fldChar w:fldCharType="begin"/>
        </w:r>
        <w:r>
          <w:rPr>
            <w:noProof/>
            <w:webHidden/>
          </w:rPr>
          <w:instrText xml:space="preserve"> PAGEREF _Toc154068822 \h </w:instrText>
        </w:r>
        <w:r>
          <w:rPr>
            <w:noProof/>
            <w:webHidden/>
          </w:rPr>
        </w:r>
        <w:r>
          <w:rPr>
            <w:noProof/>
            <w:webHidden/>
          </w:rPr>
          <w:fldChar w:fldCharType="separate"/>
        </w:r>
        <w:r w:rsidR="00504826">
          <w:rPr>
            <w:noProof/>
            <w:webHidden/>
          </w:rPr>
          <w:t>1</w:t>
        </w:r>
        <w:r>
          <w:rPr>
            <w:noProof/>
            <w:webHidden/>
          </w:rPr>
          <w:fldChar w:fldCharType="end"/>
        </w:r>
      </w:hyperlink>
    </w:p>
    <w:p w14:paraId="37DE09F8" w14:textId="13D1ADEE" w:rsidR="007A4683" w:rsidRDefault="007A4683">
      <w:pPr>
        <w:pStyle w:val="TOC1"/>
        <w:tabs>
          <w:tab w:val="left" w:pos="1440"/>
        </w:tabs>
        <w:rPr>
          <w:rFonts w:eastAsiaTheme="minorEastAsia" w:cstheme="minorBidi"/>
          <w:b w:val="0"/>
          <w:bCs w:val="0"/>
          <w:noProof/>
          <w:color w:val="auto"/>
          <w:kern w:val="2"/>
          <w:sz w:val="22"/>
          <w:szCs w:val="22"/>
          <w:lang w:eastAsia="en-CA"/>
          <w14:ligatures w14:val="standardContextual"/>
        </w:rPr>
      </w:pPr>
      <w:hyperlink w:anchor="_Toc154068823" w:history="1">
        <w:r w:rsidRPr="00393B4F">
          <w:rPr>
            <w:rStyle w:val="Hyperlink"/>
            <w:noProof/>
          </w:rPr>
          <w:t>Appendix B</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 xml:space="preserve"> Level of Service</w:t>
        </w:r>
        <w:r>
          <w:rPr>
            <w:noProof/>
            <w:webHidden/>
          </w:rPr>
          <w:tab/>
          <w:t>B-</w:t>
        </w:r>
        <w:r>
          <w:rPr>
            <w:noProof/>
            <w:webHidden/>
          </w:rPr>
          <w:fldChar w:fldCharType="begin"/>
        </w:r>
        <w:r>
          <w:rPr>
            <w:noProof/>
            <w:webHidden/>
          </w:rPr>
          <w:instrText xml:space="preserve"> PAGEREF _Toc154068823 \h </w:instrText>
        </w:r>
        <w:r>
          <w:rPr>
            <w:noProof/>
            <w:webHidden/>
          </w:rPr>
        </w:r>
        <w:r>
          <w:rPr>
            <w:noProof/>
            <w:webHidden/>
          </w:rPr>
          <w:fldChar w:fldCharType="separate"/>
        </w:r>
        <w:r w:rsidR="00504826">
          <w:rPr>
            <w:noProof/>
            <w:webHidden/>
          </w:rPr>
          <w:t>1</w:t>
        </w:r>
        <w:r>
          <w:rPr>
            <w:noProof/>
            <w:webHidden/>
          </w:rPr>
          <w:fldChar w:fldCharType="end"/>
        </w:r>
      </w:hyperlink>
    </w:p>
    <w:p w14:paraId="5C313E4B" w14:textId="1CD87999" w:rsidR="007A4683" w:rsidRDefault="007A4683">
      <w:pPr>
        <w:pStyle w:val="TOC1"/>
        <w:tabs>
          <w:tab w:val="left" w:pos="1440"/>
        </w:tabs>
        <w:rPr>
          <w:rFonts w:eastAsiaTheme="minorEastAsia" w:cstheme="minorBidi"/>
          <w:b w:val="0"/>
          <w:bCs w:val="0"/>
          <w:noProof/>
          <w:color w:val="auto"/>
          <w:kern w:val="2"/>
          <w:sz w:val="22"/>
          <w:szCs w:val="22"/>
          <w:lang w:eastAsia="en-CA"/>
          <w14:ligatures w14:val="standardContextual"/>
        </w:rPr>
      </w:pPr>
      <w:hyperlink w:anchor="_Toc154068824" w:history="1">
        <w:r w:rsidRPr="00393B4F">
          <w:rPr>
            <w:rStyle w:val="Hyperlink"/>
            <w:noProof/>
          </w:rPr>
          <w:t>Appendix C</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 xml:space="preserve"> Long-Term Capital and Operating Cost Examination</w:t>
        </w:r>
        <w:r>
          <w:rPr>
            <w:noProof/>
            <w:webHidden/>
          </w:rPr>
          <w:tab/>
          <w:t>C-</w:t>
        </w:r>
        <w:r>
          <w:rPr>
            <w:noProof/>
            <w:webHidden/>
          </w:rPr>
          <w:fldChar w:fldCharType="begin"/>
        </w:r>
        <w:r>
          <w:rPr>
            <w:noProof/>
            <w:webHidden/>
          </w:rPr>
          <w:instrText xml:space="preserve"> PAGEREF _Toc154068824 \h </w:instrText>
        </w:r>
        <w:r>
          <w:rPr>
            <w:noProof/>
            <w:webHidden/>
          </w:rPr>
        </w:r>
        <w:r>
          <w:rPr>
            <w:noProof/>
            <w:webHidden/>
          </w:rPr>
          <w:fldChar w:fldCharType="separate"/>
        </w:r>
        <w:r w:rsidR="00504826">
          <w:rPr>
            <w:noProof/>
            <w:webHidden/>
          </w:rPr>
          <w:t>1</w:t>
        </w:r>
        <w:r>
          <w:rPr>
            <w:noProof/>
            <w:webHidden/>
          </w:rPr>
          <w:fldChar w:fldCharType="end"/>
        </w:r>
      </w:hyperlink>
    </w:p>
    <w:p w14:paraId="682F9CDC" w14:textId="01717543" w:rsidR="007A4683" w:rsidRDefault="007A4683">
      <w:pPr>
        <w:pStyle w:val="TOC1"/>
        <w:tabs>
          <w:tab w:val="left" w:pos="1440"/>
        </w:tabs>
        <w:rPr>
          <w:rFonts w:eastAsiaTheme="minorEastAsia" w:cstheme="minorBidi"/>
          <w:b w:val="0"/>
          <w:bCs w:val="0"/>
          <w:noProof/>
          <w:color w:val="auto"/>
          <w:kern w:val="2"/>
          <w:sz w:val="22"/>
          <w:szCs w:val="22"/>
          <w:lang w:eastAsia="en-CA"/>
          <w14:ligatures w14:val="standardContextual"/>
        </w:rPr>
      </w:pPr>
      <w:hyperlink w:anchor="_Toc154068825" w:history="1">
        <w:r w:rsidRPr="00393B4F">
          <w:rPr>
            <w:rStyle w:val="Hyperlink"/>
            <w:noProof/>
          </w:rPr>
          <w:t>Appendix D</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 xml:space="preserve"> D.C. Reserve Fund Policy</w:t>
        </w:r>
        <w:r>
          <w:rPr>
            <w:noProof/>
            <w:webHidden/>
          </w:rPr>
          <w:tab/>
          <w:t>D-</w:t>
        </w:r>
        <w:r>
          <w:rPr>
            <w:noProof/>
            <w:webHidden/>
          </w:rPr>
          <w:fldChar w:fldCharType="begin"/>
        </w:r>
        <w:r>
          <w:rPr>
            <w:noProof/>
            <w:webHidden/>
          </w:rPr>
          <w:instrText xml:space="preserve"> PAGEREF _Toc154068825 \h </w:instrText>
        </w:r>
        <w:r>
          <w:rPr>
            <w:noProof/>
            <w:webHidden/>
          </w:rPr>
        </w:r>
        <w:r>
          <w:rPr>
            <w:noProof/>
            <w:webHidden/>
          </w:rPr>
          <w:fldChar w:fldCharType="separate"/>
        </w:r>
        <w:r w:rsidR="00504826">
          <w:rPr>
            <w:noProof/>
            <w:webHidden/>
          </w:rPr>
          <w:t>1</w:t>
        </w:r>
        <w:r>
          <w:rPr>
            <w:noProof/>
            <w:webHidden/>
          </w:rPr>
          <w:fldChar w:fldCharType="end"/>
        </w:r>
      </w:hyperlink>
    </w:p>
    <w:p w14:paraId="05A1870E" w14:textId="00188A74" w:rsidR="007A4683" w:rsidRDefault="007A4683">
      <w:pPr>
        <w:pStyle w:val="TOC1"/>
        <w:tabs>
          <w:tab w:val="left" w:pos="1440"/>
        </w:tabs>
        <w:rPr>
          <w:rFonts w:eastAsiaTheme="minorEastAsia" w:cstheme="minorBidi"/>
          <w:b w:val="0"/>
          <w:bCs w:val="0"/>
          <w:noProof/>
          <w:color w:val="auto"/>
          <w:kern w:val="2"/>
          <w:sz w:val="22"/>
          <w:szCs w:val="22"/>
          <w:lang w:eastAsia="en-CA"/>
          <w14:ligatures w14:val="standardContextual"/>
        </w:rPr>
      </w:pPr>
      <w:hyperlink w:anchor="_Toc154068826" w:history="1">
        <w:r w:rsidRPr="00393B4F">
          <w:rPr>
            <w:rStyle w:val="Hyperlink"/>
            <w:noProof/>
          </w:rPr>
          <w:t>Appendix E</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 xml:space="preserve"> Local Service Policy</w:t>
        </w:r>
        <w:r>
          <w:rPr>
            <w:noProof/>
            <w:webHidden/>
          </w:rPr>
          <w:tab/>
          <w:t>E-</w:t>
        </w:r>
        <w:r>
          <w:rPr>
            <w:noProof/>
            <w:webHidden/>
          </w:rPr>
          <w:fldChar w:fldCharType="begin"/>
        </w:r>
        <w:r>
          <w:rPr>
            <w:noProof/>
            <w:webHidden/>
          </w:rPr>
          <w:instrText xml:space="preserve"> PAGEREF _Toc154068826 \h </w:instrText>
        </w:r>
        <w:r>
          <w:rPr>
            <w:noProof/>
            <w:webHidden/>
          </w:rPr>
        </w:r>
        <w:r>
          <w:rPr>
            <w:noProof/>
            <w:webHidden/>
          </w:rPr>
          <w:fldChar w:fldCharType="separate"/>
        </w:r>
        <w:r w:rsidR="00504826">
          <w:rPr>
            <w:noProof/>
            <w:webHidden/>
          </w:rPr>
          <w:t>1</w:t>
        </w:r>
        <w:r>
          <w:rPr>
            <w:noProof/>
            <w:webHidden/>
          </w:rPr>
          <w:fldChar w:fldCharType="end"/>
        </w:r>
      </w:hyperlink>
    </w:p>
    <w:p w14:paraId="20C6E37A" w14:textId="10E3D645" w:rsidR="007A4683" w:rsidRDefault="007A4683">
      <w:pPr>
        <w:pStyle w:val="TOC1"/>
        <w:tabs>
          <w:tab w:val="left" w:pos="1440"/>
        </w:tabs>
        <w:rPr>
          <w:rFonts w:eastAsiaTheme="minorEastAsia" w:cstheme="minorBidi"/>
          <w:b w:val="0"/>
          <w:bCs w:val="0"/>
          <w:noProof/>
          <w:color w:val="auto"/>
          <w:kern w:val="2"/>
          <w:sz w:val="22"/>
          <w:szCs w:val="22"/>
          <w:lang w:eastAsia="en-CA"/>
          <w14:ligatures w14:val="standardContextual"/>
        </w:rPr>
      </w:pPr>
      <w:hyperlink w:anchor="_Toc154068827" w:history="1">
        <w:r w:rsidRPr="00393B4F">
          <w:rPr>
            <w:rStyle w:val="Hyperlink"/>
            <w:noProof/>
          </w:rPr>
          <w:t>Appendix F</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 xml:space="preserve"> Asset Management Plan</w:t>
        </w:r>
        <w:r>
          <w:rPr>
            <w:noProof/>
            <w:webHidden/>
          </w:rPr>
          <w:tab/>
          <w:t>F-</w:t>
        </w:r>
        <w:r>
          <w:rPr>
            <w:noProof/>
            <w:webHidden/>
          </w:rPr>
          <w:fldChar w:fldCharType="begin"/>
        </w:r>
        <w:r>
          <w:rPr>
            <w:noProof/>
            <w:webHidden/>
          </w:rPr>
          <w:instrText xml:space="preserve"> PAGEREF _Toc154068827 \h </w:instrText>
        </w:r>
        <w:r>
          <w:rPr>
            <w:noProof/>
            <w:webHidden/>
          </w:rPr>
        </w:r>
        <w:r>
          <w:rPr>
            <w:noProof/>
            <w:webHidden/>
          </w:rPr>
          <w:fldChar w:fldCharType="separate"/>
        </w:r>
        <w:r w:rsidR="00504826">
          <w:rPr>
            <w:noProof/>
            <w:webHidden/>
          </w:rPr>
          <w:t>1</w:t>
        </w:r>
        <w:r>
          <w:rPr>
            <w:noProof/>
            <w:webHidden/>
          </w:rPr>
          <w:fldChar w:fldCharType="end"/>
        </w:r>
      </w:hyperlink>
    </w:p>
    <w:p w14:paraId="09118C6D" w14:textId="7E7E9DF1" w:rsidR="007A4683" w:rsidRDefault="007A4683">
      <w:pPr>
        <w:pStyle w:val="TOC1"/>
        <w:tabs>
          <w:tab w:val="left" w:pos="1440"/>
        </w:tabs>
        <w:rPr>
          <w:rFonts w:eastAsiaTheme="minorEastAsia" w:cstheme="minorBidi"/>
          <w:b w:val="0"/>
          <w:bCs w:val="0"/>
          <w:noProof/>
          <w:color w:val="auto"/>
          <w:kern w:val="2"/>
          <w:sz w:val="22"/>
          <w:szCs w:val="22"/>
          <w:lang w:eastAsia="en-CA"/>
          <w14:ligatures w14:val="standardContextual"/>
        </w:rPr>
      </w:pPr>
      <w:hyperlink w:anchor="_Toc154068828" w:history="1">
        <w:r w:rsidRPr="00393B4F">
          <w:rPr>
            <w:rStyle w:val="Hyperlink"/>
            <w:noProof/>
          </w:rPr>
          <w:t>Appendix G</w:t>
        </w:r>
        <w:r>
          <w:rPr>
            <w:rFonts w:eastAsiaTheme="minorEastAsia" w:cstheme="minorBidi"/>
            <w:b w:val="0"/>
            <w:bCs w:val="0"/>
            <w:noProof/>
            <w:color w:val="auto"/>
            <w:kern w:val="2"/>
            <w:sz w:val="22"/>
            <w:szCs w:val="22"/>
            <w:lang w:eastAsia="en-CA"/>
            <w14:ligatures w14:val="standardContextual"/>
          </w:rPr>
          <w:tab/>
        </w:r>
        <w:r w:rsidRPr="00393B4F">
          <w:rPr>
            <w:rStyle w:val="Hyperlink"/>
            <w:noProof/>
          </w:rPr>
          <w:t xml:space="preserve"> Proposed D.C. By-laws</w:t>
        </w:r>
        <w:r>
          <w:rPr>
            <w:noProof/>
            <w:webHidden/>
          </w:rPr>
          <w:tab/>
          <w:t>G-</w:t>
        </w:r>
        <w:r>
          <w:rPr>
            <w:noProof/>
            <w:webHidden/>
          </w:rPr>
          <w:fldChar w:fldCharType="begin"/>
        </w:r>
        <w:r>
          <w:rPr>
            <w:noProof/>
            <w:webHidden/>
          </w:rPr>
          <w:instrText xml:space="preserve"> PAGEREF _Toc154068828 \h </w:instrText>
        </w:r>
        <w:r>
          <w:rPr>
            <w:noProof/>
            <w:webHidden/>
          </w:rPr>
        </w:r>
        <w:r>
          <w:rPr>
            <w:noProof/>
            <w:webHidden/>
          </w:rPr>
          <w:fldChar w:fldCharType="separate"/>
        </w:r>
        <w:r w:rsidR="00504826">
          <w:rPr>
            <w:noProof/>
            <w:webHidden/>
          </w:rPr>
          <w:t>1</w:t>
        </w:r>
        <w:r>
          <w:rPr>
            <w:noProof/>
            <w:webHidden/>
          </w:rPr>
          <w:fldChar w:fldCharType="end"/>
        </w:r>
      </w:hyperlink>
    </w:p>
    <w:p w14:paraId="190AAE05" w14:textId="0144E18E" w:rsidR="003C6044" w:rsidRDefault="00993DB2" w:rsidP="003C6044">
      <w:pPr>
        <w:jc w:val="center"/>
        <w:rPr>
          <w:noProof/>
        </w:rPr>
      </w:pPr>
      <w:r>
        <w:rPr>
          <w:rFonts w:asciiTheme="minorHAnsi" w:hAnsiTheme="minorHAnsi" w:cstheme="minorHAnsi"/>
          <w:bCs/>
          <w:szCs w:val="20"/>
        </w:rPr>
        <w:fldChar w:fldCharType="end"/>
      </w:r>
    </w:p>
    <w:p w14:paraId="49C2BB0D" w14:textId="77777777" w:rsidR="003C6044" w:rsidRPr="003C6044" w:rsidRDefault="003C6044" w:rsidP="003C6044">
      <w:pPr>
        <w:sectPr w:rsidR="003C6044" w:rsidRPr="003C6044" w:rsidSect="00095E6C">
          <w:headerReference w:type="default" r:id="rId12"/>
          <w:footerReference w:type="default" r:id="rId13"/>
          <w:headerReference w:type="first" r:id="rId14"/>
          <w:footerReference w:type="first" r:id="rId15"/>
          <w:footnotePr>
            <w:numRestart w:val="eachPage"/>
          </w:footnotePr>
          <w:pgSz w:w="12240" w:h="15840" w:code="1"/>
          <w:pgMar w:top="0" w:right="1440" w:bottom="0" w:left="1440" w:header="432" w:footer="619" w:gutter="0"/>
          <w:cols w:space="708"/>
          <w:titlePg/>
          <w:docGrid w:linePitch="360"/>
        </w:sectPr>
      </w:pPr>
    </w:p>
    <w:p w14:paraId="4E8EB544" w14:textId="77777777" w:rsidR="00EB485A" w:rsidRDefault="00D746ED" w:rsidP="00D746ED">
      <w:pPr>
        <w:pStyle w:val="MinorTitle"/>
        <w:jc w:val="left"/>
      </w:pPr>
      <w:r w:rsidRPr="00DB6CEF">
        <w:lastRenderedPageBreak/>
        <w:t>List of Acronyms and Abbreviations</w:t>
      </w:r>
    </w:p>
    <w:p w14:paraId="53CCDFD9" w14:textId="77777777" w:rsidR="00EB485A" w:rsidRPr="00D61F31" w:rsidRDefault="00D61F31" w:rsidP="00205AAF">
      <w:pPr>
        <w:pStyle w:val="BodyTextss"/>
        <w:tabs>
          <w:tab w:val="left" w:pos="2160"/>
        </w:tabs>
        <w:rPr>
          <w:b/>
        </w:rPr>
      </w:pPr>
      <w:r w:rsidRPr="00D61F31">
        <w:rPr>
          <w:b/>
        </w:rPr>
        <w:t>Acronym</w:t>
      </w:r>
      <w:r w:rsidRPr="00D61F31">
        <w:rPr>
          <w:b/>
        </w:rPr>
        <w:tab/>
        <w:t>Full Description of Acronym</w:t>
      </w:r>
    </w:p>
    <w:p w14:paraId="75B4621E" w14:textId="77777777" w:rsidR="00507049" w:rsidRDefault="00507049" w:rsidP="00D61F31">
      <w:pPr>
        <w:pStyle w:val="BodyTextss"/>
        <w:tabs>
          <w:tab w:val="left" w:pos="2160"/>
        </w:tabs>
        <w:spacing w:after="120"/>
        <w:rPr>
          <w:noProof/>
        </w:rPr>
      </w:pPr>
      <w:r>
        <w:rPr>
          <w:noProof/>
        </w:rPr>
        <w:t>A.M.P.</w:t>
      </w:r>
      <w:r>
        <w:rPr>
          <w:noProof/>
        </w:rPr>
        <w:tab/>
        <w:t>Asset management plan</w:t>
      </w:r>
    </w:p>
    <w:p w14:paraId="24251462" w14:textId="77777777" w:rsidR="004936B0" w:rsidRDefault="004936B0" w:rsidP="004936B0">
      <w:pPr>
        <w:pStyle w:val="BodyTextss"/>
        <w:tabs>
          <w:tab w:val="left" w:pos="2160"/>
        </w:tabs>
        <w:spacing w:after="120"/>
        <w:ind w:left="2160" w:hanging="2160"/>
        <w:rPr>
          <w:noProof/>
        </w:rPr>
      </w:pPr>
      <w:r>
        <w:rPr>
          <w:noProof/>
        </w:rPr>
        <w:t>CANSIM</w:t>
      </w:r>
      <w:r>
        <w:rPr>
          <w:noProof/>
        </w:rPr>
        <w:tab/>
        <w:t>Canadian Socio-Economic Information Management System (Statistics Canada)</w:t>
      </w:r>
    </w:p>
    <w:p w14:paraId="338F652D" w14:textId="77777777" w:rsidR="00D61F31" w:rsidRDefault="00D61F31" w:rsidP="00D61F31">
      <w:pPr>
        <w:pStyle w:val="BodyTextss"/>
        <w:tabs>
          <w:tab w:val="left" w:pos="2160"/>
        </w:tabs>
        <w:spacing w:after="120"/>
        <w:rPr>
          <w:noProof/>
        </w:rPr>
      </w:pPr>
      <w:r w:rsidRPr="00DB6CEF">
        <w:rPr>
          <w:noProof/>
        </w:rPr>
        <w:t>D.C.</w:t>
      </w:r>
      <w:r>
        <w:rPr>
          <w:noProof/>
        </w:rPr>
        <w:tab/>
        <w:t>Development charge</w:t>
      </w:r>
    </w:p>
    <w:p w14:paraId="1F294C56" w14:textId="77777777" w:rsidR="00D61F31" w:rsidRDefault="00D61F31" w:rsidP="00D61F31">
      <w:pPr>
        <w:pStyle w:val="BodyTextss"/>
        <w:tabs>
          <w:tab w:val="left" w:pos="2160"/>
        </w:tabs>
        <w:spacing w:after="120"/>
      </w:pPr>
      <w:r>
        <w:t>D.C.A.</w:t>
      </w:r>
      <w:r>
        <w:tab/>
        <w:t>Development Charges Act, 1997, as amended</w:t>
      </w:r>
    </w:p>
    <w:p w14:paraId="6AA4D2F8" w14:textId="77777777" w:rsidR="004936B0" w:rsidRDefault="004936B0" w:rsidP="00D61F31">
      <w:pPr>
        <w:pStyle w:val="BodyTextss"/>
        <w:tabs>
          <w:tab w:val="left" w:pos="2160"/>
        </w:tabs>
        <w:spacing w:after="120"/>
      </w:pPr>
      <w:r>
        <w:t>F.I.R.</w:t>
      </w:r>
      <w:r>
        <w:tab/>
        <w:t>Financial Information Return</w:t>
      </w:r>
    </w:p>
    <w:p w14:paraId="503E520E" w14:textId="77777777" w:rsidR="00D61F31" w:rsidRDefault="00D61F31" w:rsidP="00D61F31">
      <w:pPr>
        <w:pStyle w:val="BodyTextss"/>
        <w:tabs>
          <w:tab w:val="left" w:pos="2160"/>
        </w:tabs>
        <w:spacing w:after="120"/>
      </w:pPr>
      <w:r>
        <w:t>G.F.A.</w:t>
      </w:r>
      <w:r>
        <w:tab/>
        <w:t>Gross floor area</w:t>
      </w:r>
    </w:p>
    <w:p w14:paraId="01DEB463" w14:textId="77777777" w:rsidR="00D61F31" w:rsidRDefault="00D61F31" w:rsidP="00D61F31">
      <w:pPr>
        <w:pStyle w:val="BodyTextss"/>
        <w:tabs>
          <w:tab w:val="left" w:pos="2160"/>
        </w:tabs>
        <w:spacing w:after="120"/>
        <w:rPr>
          <w:noProof/>
        </w:rPr>
      </w:pPr>
      <w:r w:rsidRPr="00DB6CEF">
        <w:rPr>
          <w:noProof/>
        </w:rPr>
        <w:t>LPAT</w:t>
      </w:r>
      <w:r>
        <w:rPr>
          <w:noProof/>
        </w:rPr>
        <w:tab/>
      </w:r>
      <w:r w:rsidRPr="00DB6CEF">
        <w:rPr>
          <w:noProof/>
        </w:rPr>
        <w:t>Local Planning Appeal Tribunal</w:t>
      </w:r>
    </w:p>
    <w:p w14:paraId="57BAF083" w14:textId="30DA5B73" w:rsidR="00507049" w:rsidRDefault="00507049" w:rsidP="00D61F31">
      <w:pPr>
        <w:pStyle w:val="BodyTextss"/>
        <w:tabs>
          <w:tab w:val="left" w:pos="2160"/>
        </w:tabs>
        <w:spacing w:after="120"/>
        <w:rPr>
          <w:noProof/>
        </w:rPr>
      </w:pPr>
      <w:r>
        <w:rPr>
          <w:noProof/>
        </w:rPr>
        <w:t>M.E.C.P.</w:t>
      </w:r>
      <w:r>
        <w:rPr>
          <w:noProof/>
        </w:rPr>
        <w:tab/>
        <w:t>Ministry of the Environment, Conservation and Parks</w:t>
      </w:r>
    </w:p>
    <w:p w14:paraId="39A9B46C" w14:textId="1A5069C7" w:rsidR="00D61F31" w:rsidRDefault="00D61F31" w:rsidP="00D61F31">
      <w:pPr>
        <w:pStyle w:val="BodyTextss"/>
        <w:tabs>
          <w:tab w:val="left" w:pos="2160"/>
        </w:tabs>
        <w:spacing w:after="120"/>
        <w:rPr>
          <w:noProof/>
        </w:rPr>
      </w:pPr>
      <w:r w:rsidRPr="00DB6CEF">
        <w:rPr>
          <w:noProof/>
        </w:rPr>
        <w:t>N.F.P.O.W.</w:t>
      </w:r>
      <w:r>
        <w:rPr>
          <w:noProof/>
        </w:rPr>
        <w:tab/>
      </w:r>
      <w:r w:rsidRPr="00DB6CEF">
        <w:rPr>
          <w:noProof/>
        </w:rPr>
        <w:t xml:space="preserve">No </w:t>
      </w:r>
      <w:r w:rsidR="00723C86">
        <w:rPr>
          <w:noProof/>
        </w:rPr>
        <w:t>f</w:t>
      </w:r>
      <w:r w:rsidRPr="00DB6CEF">
        <w:rPr>
          <w:noProof/>
        </w:rPr>
        <w:t xml:space="preserve">ixed </w:t>
      </w:r>
      <w:r w:rsidR="00723C86">
        <w:rPr>
          <w:noProof/>
        </w:rPr>
        <w:t>p</w:t>
      </w:r>
      <w:r w:rsidRPr="00DB6CEF">
        <w:rPr>
          <w:noProof/>
        </w:rPr>
        <w:t xml:space="preserve">lace of </w:t>
      </w:r>
      <w:r w:rsidR="00723C86">
        <w:rPr>
          <w:noProof/>
        </w:rPr>
        <w:t>w</w:t>
      </w:r>
      <w:r w:rsidRPr="00DB6CEF">
        <w:rPr>
          <w:noProof/>
        </w:rPr>
        <w:t>ork</w:t>
      </w:r>
    </w:p>
    <w:p w14:paraId="19F6A4C7" w14:textId="3C9973BA" w:rsidR="00A1355F" w:rsidRDefault="00A1355F" w:rsidP="00D61F31">
      <w:pPr>
        <w:pStyle w:val="BodyTextss"/>
        <w:tabs>
          <w:tab w:val="left" w:pos="2160"/>
        </w:tabs>
        <w:spacing w:after="120"/>
        <w:rPr>
          <w:noProof/>
        </w:rPr>
      </w:pPr>
      <w:r>
        <w:rPr>
          <w:noProof/>
        </w:rPr>
        <w:t>O.L.T.</w:t>
      </w:r>
      <w:r>
        <w:rPr>
          <w:noProof/>
        </w:rPr>
        <w:tab/>
        <w:t>Ontario Land Tribunal</w:t>
      </w:r>
    </w:p>
    <w:p w14:paraId="3E7B741E" w14:textId="77777777" w:rsidR="00D61F31" w:rsidRDefault="00D61F31" w:rsidP="00D61F31">
      <w:pPr>
        <w:pStyle w:val="BodyTextss"/>
        <w:tabs>
          <w:tab w:val="left" w:pos="2160"/>
        </w:tabs>
        <w:spacing w:after="120"/>
        <w:rPr>
          <w:noProof/>
        </w:rPr>
      </w:pPr>
      <w:r w:rsidRPr="00DB6CEF">
        <w:rPr>
          <w:noProof/>
        </w:rPr>
        <w:t>O.M.B.</w:t>
      </w:r>
      <w:r>
        <w:rPr>
          <w:noProof/>
        </w:rPr>
        <w:tab/>
      </w:r>
      <w:r w:rsidRPr="00DB6CEF">
        <w:rPr>
          <w:noProof/>
        </w:rPr>
        <w:t>Ontario Municipal Board</w:t>
      </w:r>
    </w:p>
    <w:p w14:paraId="2122776B" w14:textId="77777777" w:rsidR="00D61F31" w:rsidRDefault="00D61F31" w:rsidP="00D61F31">
      <w:pPr>
        <w:pStyle w:val="BodyTextss"/>
        <w:tabs>
          <w:tab w:val="left" w:pos="2160"/>
        </w:tabs>
        <w:spacing w:after="120"/>
      </w:pPr>
      <w:r>
        <w:t>O.P.A.</w:t>
      </w:r>
      <w:r>
        <w:tab/>
        <w:t>Official Plan Amendment</w:t>
      </w:r>
    </w:p>
    <w:p w14:paraId="424C1984" w14:textId="77777777" w:rsidR="00D61F31" w:rsidRDefault="003B194A" w:rsidP="00D61F31">
      <w:pPr>
        <w:pStyle w:val="BodyTextss"/>
        <w:tabs>
          <w:tab w:val="left" w:pos="2160"/>
        </w:tabs>
        <w:spacing w:after="120"/>
      </w:pPr>
      <w:r>
        <w:t>O.</w:t>
      </w:r>
      <w:r>
        <w:rPr>
          <w:noProof/>
        </w:rPr>
        <w:t> </w:t>
      </w:r>
      <w:r>
        <w:t>Reg</w:t>
      </w:r>
      <w:r w:rsidR="00D61F31">
        <w:t>.</w:t>
      </w:r>
      <w:r w:rsidR="00D61F31">
        <w:tab/>
        <w:t>Ontario Regulation</w:t>
      </w:r>
    </w:p>
    <w:p w14:paraId="7C7BA807" w14:textId="77777777" w:rsidR="00D61F31" w:rsidRDefault="00D61F31" w:rsidP="00D61F31">
      <w:pPr>
        <w:pStyle w:val="BodyTextss"/>
        <w:tabs>
          <w:tab w:val="left" w:pos="2160"/>
        </w:tabs>
        <w:spacing w:after="120"/>
      </w:pPr>
      <w:r>
        <w:t>P.O.A.</w:t>
      </w:r>
      <w:r>
        <w:tab/>
        <w:t>Provincial Offences Act</w:t>
      </w:r>
    </w:p>
    <w:p w14:paraId="2EEA14E6" w14:textId="77777777" w:rsidR="00D61F31" w:rsidRDefault="00D61F31" w:rsidP="00D61F31">
      <w:pPr>
        <w:pStyle w:val="BodyTextss"/>
        <w:tabs>
          <w:tab w:val="left" w:pos="2160"/>
        </w:tabs>
        <w:spacing w:after="120"/>
      </w:pPr>
      <w:r>
        <w:t>P.P.U.</w:t>
      </w:r>
      <w:r>
        <w:tab/>
        <w:t>Persons per unit</w:t>
      </w:r>
    </w:p>
    <w:p w14:paraId="653074DF" w14:textId="77777777" w:rsidR="00D61F31" w:rsidRDefault="00D61F31" w:rsidP="00D61F31">
      <w:pPr>
        <w:pStyle w:val="BodyTextss"/>
        <w:tabs>
          <w:tab w:val="left" w:pos="2160"/>
        </w:tabs>
        <w:spacing w:after="120"/>
      </w:pPr>
      <w:r>
        <w:t>S.D.E.</w:t>
      </w:r>
      <w:r>
        <w:tab/>
        <w:t>Single detached equivalent</w:t>
      </w:r>
    </w:p>
    <w:p w14:paraId="0F008D7E" w14:textId="77777777" w:rsidR="00D61F31" w:rsidRDefault="00D61F31" w:rsidP="00D61F31">
      <w:pPr>
        <w:pStyle w:val="BodyTextss"/>
        <w:tabs>
          <w:tab w:val="left" w:pos="2160"/>
        </w:tabs>
        <w:spacing w:after="120"/>
      </w:pPr>
      <w:r>
        <w:t>S.D.U.</w:t>
      </w:r>
      <w:r>
        <w:tab/>
        <w:t>Single deta</w:t>
      </w:r>
      <w:r w:rsidR="006E52B4">
        <w:t>ch</w:t>
      </w:r>
      <w:r>
        <w:t>ed unit</w:t>
      </w:r>
    </w:p>
    <w:p w14:paraId="2340E5A1" w14:textId="77777777" w:rsidR="00D61F31" w:rsidRDefault="00D61F31" w:rsidP="00D61F31">
      <w:pPr>
        <w:pStyle w:val="BodyTextss"/>
        <w:tabs>
          <w:tab w:val="left" w:pos="2160"/>
        </w:tabs>
        <w:spacing w:after="120"/>
      </w:pPr>
      <w:r>
        <w:t>S.W.M.</w:t>
      </w:r>
      <w:r>
        <w:tab/>
        <w:t>Stormwater management</w:t>
      </w:r>
    </w:p>
    <w:p w14:paraId="0BB61693" w14:textId="77777777" w:rsidR="00D61F31" w:rsidRDefault="00D61F31" w:rsidP="00D61F31">
      <w:pPr>
        <w:pStyle w:val="BodyTextss"/>
        <w:tabs>
          <w:tab w:val="left" w:pos="2160"/>
        </w:tabs>
        <w:spacing w:after="120"/>
      </w:pPr>
      <w:r>
        <w:t>sq.ft.</w:t>
      </w:r>
      <w:r>
        <w:tab/>
        <w:t>square foot</w:t>
      </w:r>
    </w:p>
    <w:p w14:paraId="638CCB02" w14:textId="77777777" w:rsidR="00512052" w:rsidRDefault="00D61F31" w:rsidP="00723C86">
      <w:pPr>
        <w:pStyle w:val="BodyTextss"/>
        <w:tabs>
          <w:tab w:val="left" w:pos="2160"/>
        </w:tabs>
        <w:spacing w:after="120"/>
        <w:rPr>
          <w:rFonts w:asciiTheme="minorHAnsi" w:hAnsiTheme="minorHAnsi" w:cstheme="minorHAnsi"/>
          <w:szCs w:val="20"/>
        </w:rPr>
      </w:pPr>
      <w:r>
        <w:t>sq.m</w:t>
      </w:r>
      <w:r>
        <w:tab/>
        <w:t>square metre</w:t>
      </w:r>
    </w:p>
    <w:p w14:paraId="2B55021D" w14:textId="77777777" w:rsidR="00CE1D8C" w:rsidRDefault="00CE1D8C" w:rsidP="0025091A">
      <w:pPr>
        <w:pStyle w:val="TOC4"/>
        <w:sectPr w:rsidR="00CE1D8C" w:rsidSect="00095E6C">
          <w:headerReference w:type="default" r:id="rId16"/>
          <w:headerReference w:type="first" r:id="rId17"/>
          <w:footnotePr>
            <w:numRestart w:val="eachPage"/>
          </w:footnotePr>
          <w:pgSz w:w="12240" w:h="15840" w:code="1"/>
          <w:pgMar w:top="1440" w:right="1440" w:bottom="1440" w:left="1440" w:header="432" w:footer="619" w:gutter="0"/>
          <w:pgNumType w:start="1"/>
          <w:cols w:space="720"/>
          <w:formProt w:val="0"/>
          <w:noEndnote/>
          <w:titlePg/>
          <w:docGrid w:linePitch="326"/>
        </w:sectPr>
      </w:pPr>
    </w:p>
    <w:p w14:paraId="773EEC12" w14:textId="71CE9777" w:rsidR="00CF4F3B" w:rsidRPr="00047E20" w:rsidRDefault="001E2D51" w:rsidP="00CF4F3B">
      <w:pPr>
        <w:sectPr w:rsidR="00CF4F3B" w:rsidRPr="00047E20" w:rsidSect="00095E6C">
          <w:headerReference w:type="default" r:id="rId18"/>
          <w:footerReference w:type="default" r:id="rId19"/>
          <w:headerReference w:type="first" r:id="rId20"/>
          <w:footerReference w:type="first" r:id="rId21"/>
          <w:pgSz w:w="12240" w:h="15840" w:code="1"/>
          <w:pgMar w:top="0" w:right="0" w:bottom="0" w:left="0" w:header="0" w:footer="619" w:gutter="0"/>
          <w:cols w:space="708"/>
          <w:titlePg/>
          <w:docGrid w:linePitch="360"/>
        </w:sectPr>
      </w:pPr>
      <w:bookmarkStart w:id="0" w:name="_Toc520822885"/>
      <w:bookmarkStart w:id="1" w:name="_Toc520910930"/>
      <w:bookmarkStart w:id="2" w:name="_Toc520911311"/>
      <w:bookmarkStart w:id="3" w:name="_Toc517273717"/>
      <w:r>
        <w:rPr>
          <w:noProof/>
        </w:rPr>
        <w:lastRenderedPageBreak/>
        <mc:AlternateContent>
          <mc:Choice Requires="wps">
            <w:drawing>
              <wp:inline distT="0" distB="0" distL="0" distR="0" wp14:anchorId="4D2B067C" wp14:editId="6954B5C8">
                <wp:extent cx="7772400" cy="5943600"/>
                <wp:effectExtent l="0" t="0" r="0" b="0"/>
                <wp:docPr id="4"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F6AE9" w14:textId="77777777" w:rsidR="00D931C2" w:rsidRPr="0096330A" w:rsidRDefault="00D931C2" w:rsidP="00CF4F3B">
                            <w:pPr>
                              <w:pStyle w:val="Dividers"/>
                            </w:pPr>
                            <w:r>
                              <w:t>Executive Summary</w:t>
                            </w:r>
                          </w:p>
                        </w:txbxContent>
                      </wps:txbx>
                      <wps:bodyPr rot="0" vert="horz" wrap="square" lIns="91440" tIns="45720" rIns="91440" bIns="45720" anchor="t" anchorCtr="0" upright="1">
                        <a:noAutofit/>
                      </wps:bodyPr>
                    </wps:wsp>
                  </a:graphicData>
                </a:graphic>
              </wp:inline>
            </w:drawing>
          </mc:Choice>
          <mc:Fallback>
            <w:pict>
              <v:shape w14:anchorId="4D2B067C" id="Text Box 5" o:spid="_x0000_s1027" type="#_x0000_t202" alt="&quot;&quot;" style="width:612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" filled="f" stroked="f">
                <v:textbox>
                  <w:txbxContent>
                    <w:p w14:paraId="31DF6AE9" w14:textId="77777777" w:rsidR="00D931C2" w:rsidRPr="0096330A" w:rsidRDefault="00D931C2" w:rsidP="00CF4F3B">
                      <w:pPr>
                        <w:pStyle w:val="Dividers"/>
                      </w:pPr>
                      <w:r>
                        <w:t>Executive Summary</w:t>
                      </w:r>
                    </w:p>
                  </w:txbxContent>
                </v:textbox>
                <w10:anchorlock/>
              </v:shape>
            </w:pict>
          </mc:Fallback>
        </mc:AlternateContent>
      </w:r>
    </w:p>
    <w:p w14:paraId="43F37110" w14:textId="77777777" w:rsidR="003C52CE" w:rsidRPr="00B00269" w:rsidRDefault="003C52CE" w:rsidP="00F5670B">
      <w:pPr>
        <w:pStyle w:val="Headingnonumber"/>
      </w:pPr>
      <w:bookmarkStart w:id="4" w:name="_Toc154068723"/>
      <w:r w:rsidRPr="00B00269">
        <w:lastRenderedPageBreak/>
        <w:t>Executive Summary</w:t>
      </w:r>
      <w:bookmarkEnd w:id="0"/>
      <w:bookmarkEnd w:id="1"/>
      <w:bookmarkEnd w:id="2"/>
      <w:bookmarkEnd w:id="4"/>
    </w:p>
    <w:p w14:paraId="6D455CD5" w14:textId="1A1EB22E" w:rsidR="00551A91" w:rsidRPr="009E53DB" w:rsidRDefault="00551A91" w:rsidP="00B16524">
      <w:pPr>
        <w:pStyle w:val="BodyText125"/>
        <w:numPr>
          <w:ilvl w:val="0"/>
          <w:numId w:val="5"/>
        </w:numPr>
        <w:rPr>
          <w:noProof/>
        </w:rPr>
      </w:pPr>
      <w:r w:rsidRPr="009E53DB">
        <w:rPr>
          <w:noProof/>
        </w:rPr>
        <w:t xml:space="preserve">The report provided herein represents the </w:t>
      </w:r>
      <w:r>
        <w:rPr>
          <w:noProof/>
        </w:rPr>
        <w:t>Development Charges (</w:t>
      </w:r>
      <w:r w:rsidRPr="009E53DB">
        <w:rPr>
          <w:noProof/>
        </w:rPr>
        <w:t>D.C.</w:t>
      </w:r>
      <w:r>
        <w:rPr>
          <w:noProof/>
        </w:rPr>
        <w:t>)</w:t>
      </w:r>
      <w:r w:rsidRPr="009E53DB">
        <w:rPr>
          <w:noProof/>
        </w:rPr>
        <w:t xml:space="preserve"> Background </w:t>
      </w:r>
      <w:r w:rsidRPr="00A1355F">
        <w:rPr>
          <w:noProof/>
        </w:rPr>
        <w:t xml:space="preserve">Study for the </w:t>
      </w:r>
      <w:r w:rsidR="00A1355F" w:rsidRPr="00A1355F">
        <w:rPr>
          <w:noProof/>
        </w:rPr>
        <w:t>City</w:t>
      </w:r>
      <w:r w:rsidRPr="00A1355F">
        <w:rPr>
          <w:noProof/>
        </w:rPr>
        <w:t xml:space="preserve"> of </w:t>
      </w:r>
      <w:r w:rsidR="00A1355F" w:rsidRPr="00A1355F">
        <w:rPr>
          <w:noProof/>
        </w:rPr>
        <w:t>Cambridge</w:t>
      </w:r>
      <w:r w:rsidRPr="00A1355F">
        <w:rPr>
          <w:noProof/>
        </w:rPr>
        <w:t xml:space="preserve"> required</w:t>
      </w:r>
      <w:r w:rsidRPr="009E53DB">
        <w:rPr>
          <w:noProof/>
        </w:rPr>
        <w:t xml:space="preserve"> by the </w:t>
      </w:r>
      <w:r w:rsidRPr="007F7A09">
        <w:rPr>
          <w:i/>
          <w:iCs/>
          <w:noProof/>
        </w:rPr>
        <w:t>Development Charges Act, 1997</w:t>
      </w:r>
      <w:r w:rsidR="007F7A09">
        <w:rPr>
          <w:noProof/>
        </w:rPr>
        <w:t>, as amended</w:t>
      </w:r>
      <w:r w:rsidRPr="009E53DB">
        <w:rPr>
          <w:noProof/>
        </w:rPr>
        <w:t xml:space="preserve"> (D.C.A.).  This report has been prepared in accordance with the methodology required under the D.C.A.  The contents include the following:</w:t>
      </w:r>
    </w:p>
    <w:p w14:paraId="19075868" w14:textId="77777777" w:rsidR="00551A91" w:rsidRPr="00A1355F" w:rsidRDefault="00551A91" w:rsidP="00551A91">
      <w:pPr>
        <w:pStyle w:val="BodyTextbullets125"/>
        <w:ind w:left="1440"/>
        <w:rPr>
          <w:noProof/>
        </w:rPr>
      </w:pPr>
      <w:r w:rsidRPr="00A1355F">
        <w:rPr>
          <w:noProof/>
        </w:rPr>
        <w:t>Chapter 1 – Overview of the legislative requirements of the Act;</w:t>
      </w:r>
    </w:p>
    <w:p w14:paraId="49D75F87" w14:textId="038B31FC" w:rsidR="00551A91" w:rsidRPr="00A1355F" w:rsidRDefault="00551A91" w:rsidP="00551A91">
      <w:pPr>
        <w:pStyle w:val="BodyTextbullets125"/>
        <w:ind w:left="1440"/>
        <w:rPr>
          <w:noProof/>
        </w:rPr>
      </w:pPr>
      <w:r w:rsidRPr="00A1355F">
        <w:rPr>
          <w:noProof/>
        </w:rPr>
        <w:t xml:space="preserve">Chapter 2 – Review of present D.C. policies of the </w:t>
      </w:r>
      <w:r w:rsidR="00A1355F" w:rsidRPr="00A1355F">
        <w:rPr>
          <w:noProof/>
        </w:rPr>
        <w:t>City</w:t>
      </w:r>
      <w:r w:rsidRPr="00A1355F">
        <w:rPr>
          <w:noProof/>
        </w:rPr>
        <w:t>;</w:t>
      </w:r>
    </w:p>
    <w:p w14:paraId="66789E66" w14:textId="11A38CF6" w:rsidR="00551A91" w:rsidRPr="00A1355F" w:rsidRDefault="00551A91" w:rsidP="00551A91">
      <w:pPr>
        <w:pStyle w:val="BodyTextbullets125"/>
        <w:ind w:left="1440"/>
        <w:rPr>
          <w:noProof/>
        </w:rPr>
      </w:pPr>
      <w:r w:rsidRPr="00A1355F">
        <w:rPr>
          <w:noProof/>
        </w:rPr>
        <w:t xml:space="preserve">Chapter 3 – Summary of the residential and non-residential growth forecasts for the </w:t>
      </w:r>
      <w:r w:rsidR="00A1355F" w:rsidRPr="00A1355F">
        <w:rPr>
          <w:noProof/>
        </w:rPr>
        <w:t>City</w:t>
      </w:r>
      <w:r w:rsidRPr="00A1355F">
        <w:rPr>
          <w:noProof/>
        </w:rPr>
        <w:t>;</w:t>
      </w:r>
      <w:r w:rsidR="00441376" w:rsidRPr="00A1355F">
        <w:rPr>
          <w:noProof/>
        </w:rPr>
        <w:t xml:space="preserve"> </w:t>
      </w:r>
    </w:p>
    <w:p w14:paraId="3C619F86" w14:textId="77777777" w:rsidR="00551A91" w:rsidRPr="009E53DB" w:rsidRDefault="00551A91" w:rsidP="00551A91">
      <w:pPr>
        <w:pStyle w:val="BodyTextbullets125"/>
        <w:ind w:left="1440"/>
        <w:rPr>
          <w:noProof/>
        </w:rPr>
      </w:pPr>
      <w:r w:rsidRPr="009E53DB">
        <w:rPr>
          <w:noProof/>
        </w:rPr>
        <w:t>Chapter 4 – Approach to calculating the D.C.;</w:t>
      </w:r>
    </w:p>
    <w:p w14:paraId="0831A3D0" w14:textId="77777777" w:rsidR="00551A91" w:rsidRPr="009E53DB" w:rsidRDefault="00551A91" w:rsidP="00551A91">
      <w:pPr>
        <w:pStyle w:val="BodyTextbullets125"/>
        <w:ind w:left="1440"/>
        <w:rPr>
          <w:noProof/>
        </w:rPr>
      </w:pPr>
      <w:r w:rsidRPr="009E53DB">
        <w:rPr>
          <w:noProof/>
        </w:rPr>
        <w:t>Chapter 5 – Review of historic</w:t>
      </w:r>
      <w:r w:rsidR="001A583E">
        <w:rPr>
          <w:noProof/>
        </w:rPr>
        <w:t>al</w:t>
      </w:r>
      <w:r w:rsidRPr="009E53DB">
        <w:rPr>
          <w:noProof/>
        </w:rPr>
        <w:t xml:space="preserve"> service standards and identification of future capital requirements to service growth and related deductions and allocations;</w:t>
      </w:r>
    </w:p>
    <w:p w14:paraId="736604A7" w14:textId="77777777" w:rsidR="00551A91" w:rsidRPr="009E53DB" w:rsidRDefault="00551A91" w:rsidP="00551A91">
      <w:pPr>
        <w:pStyle w:val="BodyTextbullets125"/>
        <w:ind w:left="1440"/>
        <w:rPr>
          <w:noProof/>
        </w:rPr>
      </w:pPr>
      <w:r w:rsidRPr="009E53DB">
        <w:rPr>
          <w:noProof/>
        </w:rPr>
        <w:t>Chapter 6 – Calculation of the D.C.s;</w:t>
      </w:r>
    </w:p>
    <w:p w14:paraId="2BCD6D4F" w14:textId="77777777" w:rsidR="00551A91" w:rsidRPr="009E53DB" w:rsidRDefault="00551A91" w:rsidP="00551A91">
      <w:pPr>
        <w:pStyle w:val="BodyTextbullets125"/>
        <w:ind w:left="1440"/>
        <w:rPr>
          <w:noProof/>
        </w:rPr>
      </w:pPr>
      <w:r w:rsidRPr="009E53DB">
        <w:rPr>
          <w:noProof/>
        </w:rPr>
        <w:t>Chapter 7 – D.C. policy recommendations and rules; and</w:t>
      </w:r>
    </w:p>
    <w:p w14:paraId="02E7463F" w14:textId="77777777" w:rsidR="00551A91" w:rsidRPr="009E53DB" w:rsidRDefault="00551A91" w:rsidP="00551A91">
      <w:pPr>
        <w:pStyle w:val="BodyTextbullets125"/>
        <w:ind w:left="1440"/>
        <w:rPr>
          <w:noProof/>
        </w:rPr>
      </w:pPr>
      <w:r w:rsidRPr="009E53DB">
        <w:rPr>
          <w:noProof/>
        </w:rPr>
        <w:t>Chapter 8 – By-law implementation.</w:t>
      </w:r>
    </w:p>
    <w:p w14:paraId="7D7E8A7E" w14:textId="77777777" w:rsidR="00551A91" w:rsidRPr="009E53DB" w:rsidRDefault="00551A91" w:rsidP="00B16524">
      <w:pPr>
        <w:pStyle w:val="BodyText125"/>
        <w:numPr>
          <w:ilvl w:val="0"/>
          <w:numId w:val="5"/>
        </w:numPr>
        <w:rPr>
          <w:noProof/>
        </w:rPr>
      </w:pPr>
      <w:r w:rsidRPr="009E53DB">
        <w:rPr>
          <w:noProof/>
        </w:rPr>
        <w:t>D.C.s provide for the recovery of growth-related capital expenditures from new development.  The D.C.A. is the statutory basis to recover these charges.  The methodology is detailed in Chapter 4; a simplified summary is provided below</w:t>
      </w:r>
      <w:r w:rsidR="00723C86">
        <w:rPr>
          <w:noProof/>
        </w:rPr>
        <w:t>.</w:t>
      </w:r>
    </w:p>
    <w:p w14:paraId="7A93F909" w14:textId="77777777" w:rsidR="00551A91" w:rsidRPr="009E53DB" w:rsidRDefault="00551A91" w:rsidP="00B16524">
      <w:pPr>
        <w:pStyle w:val="BodyText125"/>
        <w:numPr>
          <w:ilvl w:val="0"/>
          <w:numId w:val="6"/>
        </w:numPr>
        <w:rPr>
          <w:noProof/>
        </w:rPr>
      </w:pPr>
      <w:r w:rsidRPr="009E53DB">
        <w:rPr>
          <w:noProof/>
        </w:rPr>
        <w:t>Identify amount, type and location of growth</w:t>
      </w:r>
      <w:r w:rsidR="00723C86">
        <w:rPr>
          <w:noProof/>
        </w:rPr>
        <w:t>.</w:t>
      </w:r>
    </w:p>
    <w:p w14:paraId="19C5C961" w14:textId="77777777" w:rsidR="00551A91" w:rsidRPr="009E53DB" w:rsidRDefault="00551A91" w:rsidP="00B16524">
      <w:pPr>
        <w:pStyle w:val="BodyText125"/>
        <w:numPr>
          <w:ilvl w:val="0"/>
          <w:numId w:val="6"/>
        </w:numPr>
        <w:rPr>
          <w:noProof/>
        </w:rPr>
      </w:pPr>
      <w:r w:rsidRPr="009E53DB">
        <w:rPr>
          <w:noProof/>
        </w:rPr>
        <w:t>Identify servicing needs to accommodate growth</w:t>
      </w:r>
      <w:r w:rsidR="00723C86">
        <w:rPr>
          <w:noProof/>
        </w:rPr>
        <w:t>.</w:t>
      </w:r>
    </w:p>
    <w:p w14:paraId="53CB527F" w14:textId="77777777" w:rsidR="00551A91" w:rsidRPr="009E53DB" w:rsidRDefault="00551A91" w:rsidP="00B16524">
      <w:pPr>
        <w:pStyle w:val="BodyText125"/>
        <w:numPr>
          <w:ilvl w:val="0"/>
          <w:numId w:val="6"/>
        </w:numPr>
        <w:rPr>
          <w:noProof/>
        </w:rPr>
      </w:pPr>
      <w:r w:rsidRPr="009E53DB">
        <w:rPr>
          <w:noProof/>
        </w:rPr>
        <w:t>Identify capital costs to provide services to meet the needs</w:t>
      </w:r>
      <w:r w:rsidR="00723C86">
        <w:rPr>
          <w:noProof/>
        </w:rPr>
        <w:t>.</w:t>
      </w:r>
    </w:p>
    <w:p w14:paraId="3A28BE2F" w14:textId="77777777" w:rsidR="00551A91" w:rsidRPr="009E53DB" w:rsidRDefault="00551A91" w:rsidP="00B16524">
      <w:pPr>
        <w:pStyle w:val="BodyText125"/>
        <w:numPr>
          <w:ilvl w:val="0"/>
          <w:numId w:val="6"/>
        </w:numPr>
        <w:rPr>
          <w:noProof/>
        </w:rPr>
      </w:pPr>
      <w:r w:rsidRPr="009E53DB">
        <w:rPr>
          <w:noProof/>
        </w:rPr>
        <w:t>Deduct:</w:t>
      </w:r>
    </w:p>
    <w:p w14:paraId="4814E811" w14:textId="77777777" w:rsidR="00551A91" w:rsidRPr="009E53DB" w:rsidRDefault="00551A91" w:rsidP="00551A91">
      <w:pPr>
        <w:pStyle w:val="BodyTextbullets125"/>
        <w:ind w:left="1800"/>
        <w:rPr>
          <w:noProof/>
        </w:rPr>
      </w:pPr>
      <w:r w:rsidRPr="009E53DB">
        <w:rPr>
          <w:noProof/>
        </w:rPr>
        <w:t>Grants, subsidies and other contributions;</w:t>
      </w:r>
    </w:p>
    <w:p w14:paraId="6517A998" w14:textId="77777777" w:rsidR="00551A91" w:rsidRPr="009E53DB" w:rsidRDefault="00551A91" w:rsidP="00551A91">
      <w:pPr>
        <w:pStyle w:val="BodyTextbullets125"/>
        <w:ind w:left="1800"/>
        <w:rPr>
          <w:noProof/>
        </w:rPr>
      </w:pPr>
      <w:r w:rsidRPr="009E53DB">
        <w:rPr>
          <w:noProof/>
        </w:rPr>
        <w:t>Benefit to existing development;</w:t>
      </w:r>
    </w:p>
    <w:p w14:paraId="2FA6BA77" w14:textId="77777777" w:rsidR="00551A91" w:rsidRPr="009E53DB" w:rsidRDefault="00551A91" w:rsidP="00551A91">
      <w:pPr>
        <w:pStyle w:val="BodyTextbullets125"/>
        <w:ind w:left="1800"/>
        <w:rPr>
          <w:noProof/>
        </w:rPr>
      </w:pPr>
      <w:r w:rsidRPr="009E53DB">
        <w:rPr>
          <w:noProof/>
        </w:rPr>
        <w:t>Amounts in excess of 10-year historic</w:t>
      </w:r>
      <w:r w:rsidR="00127291">
        <w:rPr>
          <w:noProof/>
        </w:rPr>
        <w:t>al</w:t>
      </w:r>
      <w:r w:rsidRPr="009E53DB">
        <w:rPr>
          <w:noProof/>
        </w:rPr>
        <w:t xml:space="preserve"> service calculation;</w:t>
      </w:r>
    </w:p>
    <w:p w14:paraId="2A4C45B7" w14:textId="77777777" w:rsidR="00551A91" w:rsidRPr="009E53DB" w:rsidRDefault="00551A91" w:rsidP="00551A91">
      <w:pPr>
        <w:pStyle w:val="BodyTextbullets125"/>
        <w:ind w:left="1800"/>
        <w:rPr>
          <w:noProof/>
        </w:rPr>
      </w:pPr>
      <w:r w:rsidRPr="009E53DB">
        <w:rPr>
          <w:noProof/>
        </w:rPr>
        <w:t>D.C. reserve funds (where applicable);</w:t>
      </w:r>
    </w:p>
    <w:p w14:paraId="4B1B5931" w14:textId="77777777" w:rsidR="00551A91" w:rsidRPr="009E53DB" w:rsidRDefault="00551A91" w:rsidP="00B16524">
      <w:pPr>
        <w:pStyle w:val="BodyText125"/>
        <w:numPr>
          <w:ilvl w:val="0"/>
          <w:numId w:val="6"/>
        </w:numPr>
        <w:rPr>
          <w:noProof/>
        </w:rPr>
      </w:pPr>
      <w:r w:rsidRPr="009E53DB">
        <w:rPr>
          <w:noProof/>
        </w:rPr>
        <w:t>Net costs are then allocated between residential and non-residential benefit</w:t>
      </w:r>
      <w:r w:rsidR="00723C86">
        <w:rPr>
          <w:noProof/>
        </w:rPr>
        <w:t>.</w:t>
      </w:r>
    </w:p>
    <w:p w14:paraId="7339933A" w14:textId="77777777" w:rsidR="00551A91" w:rsidRPr="009E53DB" w:rsidRDefault="00551A91" w:rsidP="00B16524">
      <w:pPr>
        <w:pStyle w:val="BodyText125"/>
        <w:numPr>
          <w:ilvl w:val="0"/>
          <w:numId w:val="6"/>
        </w:numPr>
        <w:rPr>
          <w:noProof/>
        </w:rPr>
      </w:pPr>
      <w:r w:rsidRPr="009E53DB">
        <w:rPr>
          <w:noProof/>
        </w:rPr>
        <w:lastRenderedPageBreak/>
        <w:t>Net costs divided by growth to provide the D.C.</w:t>
      </w:r>
    </w:p>
    <w:p w14:paraId="02D1FD87" w14:textId="4D7ED360" w:rsidR="00551A91" w:rsidRDefault="00551A91" w:rsidP="00B16524">
      <w:pPr>
        <w:pStyle w:val="BodyText125"/>
        <w:numPr>
          <w:ilvl w:val="0"/>
          <w:numId w:val="5"/>
        </w:numPr>
        <w:rPr>
          <w:noProof/>
        </w:rPr>
      </w:pPr>
      <w:r w:rsidRPr="009E53DB">
        <w:rPr>
          <w:noProof/>
        </w:rPr>
        <w:t>A number of changes to the D.C.</w:t>
      </w:r>
      <w:r w:rsidR="00A1355F">
        <w:rPr>
          <w:noProof/>
        </w:rPr>
        <w:t>A.</w:t>
      </w:r>
      <w:r w:rsidRPr="009E53DB">
        <w:rPr>
          <w:noProof/>
        </w:rPr>
        <w:t xml:space="preserve"> </w:t>
      </w:r>
      <w:r w:rsidR="00A1355F" w:rsidRPr="00A1355F">
        <w:rPr>
          <w:noProof/>
        </w:rPr>
        <w:t xml:space="preserve">have occurred since the passage of the </w:t>
      </w:r>
      <w:r w:rsidR="00A1355F">
        <w:rPr>
          <w:noProof/>
        </w:rPr>
        <w:t>City</w:t>
      </w:r>
      <w:r w:rsidR="00A1355F" w:rsidRPr="00A1355F">
        <w:rPr>
          <w:noProof/>
        </w:rPr>
        <w:t>’s 201</w:t>
      </w:r>
      <w:r w:rsidR="00A1355F">
        <w:rPr>
          <w:noProof/>
        </w:rPr>
        <w:t>9</w:t>
      </w:r>
      <w:r w:rsidR="00A1355F" w:rsidRPr="00A1355F">
        <w:rPr>
          <w:noProof/>
        </w:rPr>
        <w:t xml:space="preserve"> D.C. By-law.  These changes were introduced through </w:t>
      </w:r>
      <w:r w:rsidR="00381310">
        <w:rPr>
          <w:noProof/>
        </w:rPr>
        <w:t>7</w:t>
      </w:r>
      <w:r w:rsidR="00A1355F" w:rsidRPr="00A1355F">
        <w:rPr>
          <w:noProof/>
        </w:rPr>
        <w:t xml:space="preserve"> bills passed in the Ontario legislature:  Bill 108, Bill 138, Bill 197, Bill 213</w:t>
      </w:r>
      <w:r w:rsidR="003B7A61">
        <w:rPr>
          <w:noProof/>
        </w:rPr>
        <w:t>, Bill 109, Bill 23</w:t>
      </w:r>
      <w:r w:rsidR="00381310">
        <w:rPr>
          <w:noProof/>
        </w:rPr>
        <w:t>, and Bill 134</w:t>
      </w:r>
      <w:r w:rsidR="00A1355F" w:rsidRPr="00A1355F">
        <w:rPr>
          <w:noProof/>
        </w:rPr>
        <w:t>.  The following provides a brief summary of the proposed changes</w:t>
      </w:r>
      <w:r w:rsidR="00A1355F">
        <w:rPr>
          <w:noProof/>
        </w:rPr>
        <w:t>.</w:t>
      </w:r>
    </w:p>
    <w:p w14:paraId="468BF8B1" w14:textId="024C367C" w:rsidR="001E1908" w:rsidRDefault="001E1908" w:rsidP="001E1908">
      <w:pPr>
        <w:pStyle w:val="BodyText125"/>
        <w:ind w:left="720"/>
        <w:rPr>
          <w:noProof/>
          <w:u w:val="single"/>
        </w:rPr>
      </w:pPr>
      <w:r>
        <w:rPr>
          <w:noProof/>
          <w:u w:val="single"/>
        </w:rPr>
        <w:t>Bill 108: More Homes, More Choice: Ontario’s Housing Supply Action Plan</w:t>
      </w:r>
    </w:p>
    <w:p w14:paraId="40D2E28D" w14:textId="52167DE3" w:rsidR="001E1908" w:rsidRDefault="001E1908" w:rsidP="001E1908">
      <w:pPr>
        <w:pStyle w:val="BodyText125"/>
        <w:ind w:left="720"/>
        <w:rPr>
          <w:noProof/>
        </w:rPr>
      </w:pPr>
      <w:r w:rsidRPr="001E1908">
        <w:rPr>
          <w:noProof/>
        </w:rPr>
        <w:t>In May 2019, the Province introduced Bill 108, More Homes, More Choice Act, 2019 which would make changes to the current D.C. legislation.  The Bill was passed and given Royal Assent on June 6, 2019.  While the legislation has been passed, much of the detailed changes were to be implemented by Regulation, however, these changes were not implemented (subject to Bill 197 discussed later).  The following items are currently in effect:</w:t>
      </w:r>
    </w:p>
    <w:p w14:paraId="4CF7D56C" w14:textId="4D6D0EED" w:rsidR="00551A91" w:rsidRPr="009E53DB" w:rsidRDefault="001E1908" w:rsidP="00B16524">
      <w:pPr>
        <w:pStyle w:val="BodyText125"/>
        <w:numPr>
          <w:ilvl w:val="1"/>
          <w:numId w:val="7"/>
        </w:numPr>
        <w:rPr>
          <w:noProof/>
        </w:rPr>
      </w:pPr>
      <w:r w:rsidRPr="001E1908">
        <w:rPr>
          <w:noProof/>
        </w:rPr>
        <w:t xml:space="preserve">Effective January 1, 2020, rental housing and institutional developments shall pay D.C.s in six (6) equal annual payments commencing at first occupancy.  Non-profit housing developments shall pay D.C.s in 21 equal annual payments.  Interest may be charged on the </w:t>
      </w:r>
      <w:r w:rsidR="002B4CD3">
        <w:rPr>
          <w:noProof/>
        </w:rPr>
        <w:t>installment</w:t>
      </w:r>
      <w:r w:rsidRPr="001E1908">
        <w:rPr>
          <w:noProof/>
        </w:rPr>
        <w:t>s, and any unpaid amounts inclusive of interest payable shall be added to the property tax roll and collected in the same manner as taxes.</w:t>
      </w:r>
    </w:p>
    <w:p w14:paraId="5AC35E9C" w14:textId="39C2F712" w:rsidR="00551A91" w:rsidRDefault="001E1908" w:rsidP="0083059C">
      <w:pPr>
        <w:pStyle w:val="BodyText125"/>
        <w:numPr>
          <w:ilvl w:val="1"/>
          <w:numId w:val="7"/>
        </w:numPr>
        <w:rPr>
          <w:noProof/>
        </w:rPr>
      </w:pPr>
      <w:r w:rsidRPr="001E1908">
        <w:rPr>
          <w:noProof/>
        </w:rPr>
        <w:t>Effective January 1, 2020, the D.C. amount for all developments occurring within two years of a Site Plan or Zoning By-law Amendment planning approval (for applications made after January 1, 2020), shall be determined based on the D.C. by-law in effect on the day of Site Plan or Zoning By-law Amendment application</w:t>
      </w:r>
      <w:r w:rsidR="00551A91" w:rsidRPr="009E53DB">
        <w:rPr>
          <w:noProof/>
        </w:rPr>
        <w:t>.</w:t>
      </w:r>
    </w:p>
    <w:p w14:paraId="078D39BF" w14:textId="1565790F" w:rsidR="001E1908" w:rsidRDefault="001E1908" w:rsidP="001E1908">
      <w:pPr>
        <w:pStyle w:val="BodyText125"/>
        <w:ind w:left="360"/>
        <w:rPr>
          <w:noProof/>
        </w:rPr>
      </w:pPr>
      <w:r w:rsidRPr="001E1908">
        <w:rPr>
          <w:noProof/>
        </w:rPr>
        <w:t>Other key elements of the changes that were not proclaimed and were dealt with subsequently through Bill 197 are provided below</w:t>
      </w:r>
      <w:r>
        <w:rPr>
          <w:noProof/>
        </w:rPr>
        <w:t>:</w:t>
      </w:r>
    </w:p>
    <w:p w14:paraId="68763B31" w14:textId="77777777" w:rsidR="001E1908" w:rsidRDefault="001E1908" w:rsidP="001E1908">
      <w:pPr>
        <w:pStyle w:val="BodyTextbullets125"/>
        <w:ind w:left="1440"/>
        <w:rPr>
          <w:noProof/>
        </w:rPr>
      </w:pPr>
      <w:r>
        <w:rPr>
          <w:noProof/>
        </w:rPr>
        <w:t>The D.C. would be refined to only allow for the following services to remain within the D.C.:  water, wastewater, storm water, roads, fire, policing, ambulance, waste diversion, parks development, recreation, public libraries, long-term care, and public health.</w:t>
      </w:r>
    </w:p>
    <w:p w14:paraId="1AC9AF8E" w14:textId="77777777" w:rsidR="001E1908" w:rsidRDefault="001E1908" w:rsidP="001E1908">
      <w:pPr>
        <w:pStyle w:val="BodyTextbullets125"/>
        <w:ind w:left="1440"/>
        <w:rPr>
          <w:noProof/>
        </w:rPr>
      </w:pPr>
      <w:r>
        <w:rPr>
          <w:noProof/>
        </w:rPr>
        <w:t>The mandatory 10% deduction would be removed for all services that remain eligible in the D.C.</w:t>
      </w:r>
    </w:p>
    <w:p w14:paraId="70E1F26A" w14:textId="40958F58" w:rsidR="001E1908" w:rsidRDefault="001E1908" w:rsidP="001E1908">
      <w:pPr>
        <w:pStyle w:val="BodyTextbullets125"/>
        <w:ind w:left="1440"/>
        <w:rPr>
          <w:noProof/>
        </w:rPr>
      </w:pPr>
      <w:r>
        <w:rPr>
          <w:noProof/>
        </w:rPr>
        <w:lastRenderedPageBreak/>
        <w:t>A new community benefits charge (C.B.C.) would be introduced to include formerly eligible D.C. services that are not included in the above listing, parkland dedication, and bonus zoning contributions.</w:t>
      </w:r>
    </w:p>
    <w:p w14:paraId="44A8F5B1" w14:textId="145785D2" w:rsidR="001E1908" w:rsidRDefault="001E1908" w:rsidP="001E1908">
      <w:pPr>
        <w:pStyle w:val="BodyText125"/>
        <w:ind w:left="360"/>
        <w:rPr>
          <w:noProof/>
          <w:u w:val="single"/>
        </w:rPr>
      </w:pPr>
      <w:r>
        <w:rPr>
          <w:noProof/>
          <w:u w:val="single"/>
        </w:rPr>
        <w:t>Bill 138: Plan to Build Ontario Together Act, 2019</w:t>
      </w:r>
    </w:p>
    <w:p w14:paraId="7CB58E38" w14:textId="68785C04" w:rsidR="001E1908" w:rsidRDefault="001E1908" w:rsidP="001E1908">
      <w:pPr>
        <w:pStyle w:val="BodyText125"/>
        <w:ind w:left="360"/>
        <w:rPr>
          <w:noProof/>
        </w:rPr>
      </w:pPr>
      <w:r w:rsidRPr="001E1908">
        <w:rPr>
          <w:noProof/>
        </w:rPr>
        <w:t xml:space="preserve">On November 6, 2019, the Province released Bill 138 which provided further amendments to the D.C.A. and Planning Act.  This Bill received Royal Assent on December 10, 2019 and was proclaimed which resulted in sections related to the D.C.A. (schedule 10) becoming effective on January 1, 2020.  With respect to the D.C.A., this Bill removed </w:t>
      </w:r>
      <w:r w:rsidR="002B4CD3">
        <w:rPr>
          <w:noProof/>
        </w:rPr>
        <w:t>installment</w:t>
      </w:r>
      <w:r w:rsidRPr="001E1908">
        <w:rPr>
          <w:noProof/>
        </w:rPr>
        <w:t xml:space="preserve"> payments for commercial and industrial developments that were originally identified in Bill 108</w:t>
      </w:r>
      <w:r>
        <w:rPr>
          <w:noProof/>
        </w:rPr>
        <w:t>.</w:t>
      </w:r>
    </w:p>
    <w:p w14:paraId="592F9972" w14:textId="3A387A68" w:rsidR="001E1908" w:rsidRDefault="001E1908" w:rsidP="001E1908">
      <w:pPr>
        <w:pStyle w:val="BodyText125"/>
        <w:ind w:left="360"/>
        <w:rPr>
          <w:noProof/>
          <w:u w:val="single"/>
        </w:rPr>
      </w:pPr>
      <w:r>
        <w:rPr>
          <w:noProof/>
          <w:u w:val="single"/>
        </w:rPr>
        <w:t>Bill 197: COVID-19 Economic Recovery Act, 2020</w:t>
      </w:r>
    </w:p>
    <w:p w14:paraId="23BCAE84" w14:textId="1A4190FE" w:rsidR="001E1908" w:rsidRDefault="001E1908" w:rsidP="001E1908">
      <w:pPr>
        <w:pStyle w:val="BodyText125"/>
        <w:ind w:left="360"/>
        <w:rPr>
          <w:noProof/>
        </w:rPr>
      </w:pPr>
      <w:r w:rsidRPr="001E1908">
        <w:rPr>
          <w:noProof/>
        </w:rPr>
        <w:t>In March 2020, Canada was impacted by the COVID-19 global pandemic.  As a result, the economy was put into a state of emergency in an effort to slow the spread of the virus.  In response, the Province tabled legislation on July 8, 2020 which amended a number of Acts, including the D.C.A. and the Planning Act.  With Bill 197, many changes proposed in Bill 108 have now been revised.  With respect to the above noted changes from Bill 108, the following changes are provided in Bill 197:</w:t>
      </w:r>
    </w:p>
    <w:p w14:paraId="4A7F614F" w14:textId="756666C3" w:rsidR="001E1908" w:rsidRDefault="001E1908" w:rsidP="001E1908">
      <w:pPr>
        <w:pStyle w:val="BodyTextbullets125"/>
        <w:ind w:left="1440"/>
        <w:rPr>
          <w:noProof/>
        </w:rPr>
      </w:pPr>
      <w:r>
        <w:rPr>
          <w:noProof/>
        </w:rPr>
        <w:t xml:space="preserve">Eligible Services:  The list of eligible services for the D.C. has now been expanded to include most services eligible under the D.C.A. prior to Bill 108.  For the </w:t>
      </w:r>
      <w:r w:rsidR="00FE6AF3">
        <w:rPr>
          <w:noProof/>
        </w:rPr>
        <w:t>City of Cambridge</w:t>
      </w:r>
      <w:r>
        <w:rPr>
          <w:noProof/>
        </w:rPr>
        <w:t xml:space="preserve">, this means that services currently provided in the D.C. by-law remain eligible. </w:t>
      </w:r>
    </w:p>
    <w:p w14:paraId="13C4F69C" w14:textId="77777777" w:rsidR="001E1908" w:rsidRDefault="001E1908" w:rsidP="001E1908">
      <w:pPr>
        <w:pStyle w:val="BodyTextbullets125"/>
        <w:ind w:left="1440"/>
        <w:rPr>
          <w:noProof/>
        </w:rPr>
      </w:pPr>
      <w:r>
        <w:rPr>
          <w:noProof/>
        </w:rPr>
        <w:t>Mandatory 10% Deduction:  The mandatory 10% deduction is removed (consistent with Bill 108).  This applies to all D.C.-eligible services.</w:t>
      </w:r>
    </w:p>
    <w:p w14:paraId="60641579" w14:textId="316E353C" w:rsidR="001E1908" w:rsidRDefault="001E1908" w:rsidP="001E1908">
      <w:pPr>
        <w:pStyle w:val="BodyTextbullets125"/>
        <w:ind w:left="1440"/>
        <w:rPr>
          <w:noProof/>
        </w:rPr>
      </w:pPr>
      <w:r>
        <w:rPr>
          <w:noProof/>
        </w:rPr>
        <w:t>Community Benefits Charges:  Based on the wording in the legislation, it appears that Upper-tier governments will not be able to impose a C.B.C.</w:t>
      </w:r>
    </w:p>
    <w:p w14:paraId="6BFD0F58" w14:textId="48444080" w:rsidR="003B7A61" w:rsidRDefault="003B7A61" w:rsidP="003B7A61">
      <w:pPr>
        <w:pStyle w:val="BodyText125"/>
        <w:ind w:left="360"/>
        <w:rPr>
          <w:noProof/>
          <w:u w:val="single"/>
        </w:rPr>
      </w:pPr>
      <w:r>
        <w:rPr>
          <w:noProof/>
          <w:u w:val="single"/>
        </w:rPr>
        <w:t>Bill 213: Better for People, Smarter for Business Act, 2020</w:t>
      </w:r>
    </w:p>
    <w:p w14:paraId="7D6B4CC2" w14:textId="37E42879" w:rsidR="003B7A61" w:rsidRDefault="003B7A61" w:rsidP="003B7A61">
      <w:pPr>
        <w:pStyle w:val="BodyText125"/>
        <w:ind w:left="360"/>
        <w:rPr>
          <w:noProof/>
        </w:rPr>
      </w:pPr>
      <w:r w:rsidRPr="003B7A61">
        <w:rPr>
          <w:noProof/>
        </w:rPr>
        <w:t xml:space="preserve">On December 8, 2020, Bill 213 received Royal Assent.  One of the changes of the Bill that took effect upon Royal Assent included amending the Ministry of Training, Colleges and Universities Act by introducing a new section that would exempt the </w:t>
      </w:r>
      <w:r w:rsidRPr="003B7A61">
        <w:rPr>
          <w:noProof/>
        </w:rPr>
        <w:lastRenderedPageBreak/>
        <w:t>payment of D.C.s for developments of land intended for use by a university that receives operating funds from the Government</w:t>
      </w:r>
      <w:r>
        <w:rPr>
          <w:noProof/>
        </w:rPr>
        <w:t>.</w:t>
      </w:r>
    </w:p>
    <w:p w14:paraId="46F18D9D" w14:textId="4B8D5235" w:rsidR="003B7A61" w:rsidRDefault="003B7A61" w:rsidP="003B7A61">
      <w:pPr>
        <w:pStyle w:val="BodyText125"/>
        <w:ind w:left="360"/>
        <w:rPr>
          <w:noProof/>
          <w:u w:val="single"/>
        </w:rPr>
      </w:pPr>
      <w:r>
        <w:rPr>
          <w:noProof/>
          <w:u w:val="single"/>
        </w:rPr>
        <w:t>Bill 109: More Homes for Everyone Act, 2022</w:t>
      </w:r>
    </w:p>
    <w:p w14:paraId="1F522FB0" w14:textId="77777777" w:rsidR="003B7A61" w:rsidRDefault="003B7A61" w:rsidP="003B7A61">
      <w:pPr>
        <w:pStyle w:val="BodyText125"/>
        <w:ind w:left="360"/>
        <w:rPr>
          <w:noProof/>
        </w:rPr>
      </w:pPr>
      <w:r>
        <w:rPr>
          <w:noProof/>
        </w:rPr>
        <w:t>On April 14, 2022, Bill 109 received Royal Assent.  One of the changes of the Bill and Ontario Regulation (O.Reg.) 438/22 that took effect upon Royal Assent included amending the D.C.A. and O.Reg. 82/98 related to the requirements for the information which is to be included in the annual Treasurer’s statement on D.C. reserve funds and the requirement for publication of the statement.</w:t>
      </w:r>
    </w:p>
    <w:p w14:paraId="07978F67" w14:textId="1EC59F4B" w:rsidR="003B7A61" w:rsidRDefault="003B7A61" w:rsidP="003B7A61">
      <w:pPr>
        <w:pStyle w:val="BodyText125"/>
        <w:ind w:left="360"/>
        <w:rPr>
          <w:noProof/>
        </w:rPr>
      </w:pPr>
      <w:r>
        <w:rPr>
          <w:noProof/>
        </w:rPr>
        <w:t>These changes to the D.C.A. are further discussed in Section 1.3 of this report.</w:t>
      </w:r>
    </w:p>
    <w:p w14:paraId="1E7CBC14" w14:textId="7E486CB1" w:rsidR="003B7A61" w:rsidRDefault="003B7A61" w:rsidP="003B7A61">
      <w:pPr>
        <w:pStyle w:val="BodyText125"/>
        <w:ind w:left="360"/>
        <w:rPr>
          <w:noProof/>
          <w:u w:val="single"/>
        </w:rPr>
      </w:pPr>
      <w:r>
        <w:rPr>
          <w:noProof/>
          <w:u w:val="single"/>
        </w:rPr>
        <w:t>Bill 23: More Homes Built Faster Act, 2022</w:t>
      </w:r>
    </w:p>
    <w:p w14:paraId="7E43AF78" w14:textId="02859234" w:rsidR="003B7A61" w:rsidRDefault="003B7A61" w:rsidP="003B7A61">
      <w:pPr>
        <w:pStyle w:val="BodyText125"/>
        <w:ind w:left="360"/>
        <w:rPr>
          <w:noProof/>
        </w:rPr>
      </w:pPr>
      <w:r w:rsidRPr="003B7A61">
        <w:rPr>
          <w:noProof/>
        </w:rPr>
        <w:t>On November 28, 2022, Bill 23 received Royal Assent. The Bill provides the following changes (further details provided in Section 1.4 of this report)</w:t>
      </w:r>
      <w:r w:rsidR="00464986">
        <w:rPr>
          <w:noProof/>
        </w:rPr>
        <w:t>.  It is noted that, as of the time of writing, the Province has announced (on December 13, 2023) potential changes to the phased-in requirements and the removal of studies as eligible capital costs.  The details of these changes will be forthcoming in early 2024 and Watson will monitor and advise as to the nature of these changes:</w:t>
      </w:r>
    </w:p>
    <w:p w14:paraId="46F4CDD7" w14:textId="77777777" w:rsidR="003B7A61" w:rsidRDefault="003B7A61" w:rsidP="003B7A61">
      <w:pPr>
        <w:pStyle w:val="BodyTextbullets125"/>
        <w:ind w:left="1440"/>
        <w:rPr>
          <w:noProof/>
        </w:rPr>
      </w:pPr>
      <w:r>
        <w:rPr>
          <w:noProof/>
        </w:rPr>
        <w:t>Additional Residential Unit Exemption;</w:t>
      </w:r>
    </w:p>
    <w:p w14:paraId="38898A59" w14:textId="77777777" w:rsidR="003B7A61" w:rsidRDefault="003B7A61" w:rsidP="003B7A61">
      <w:pPr>
        <w:pStyle w:val="BodyTextbullets125"/>
        <w:ind w:left="1440"/>
        <w:rPr>
          <w:noProof/>
        </w:rPr>
      </w:pPr>
      <w:r>
        <w:rPr>
          <w:noProof/>
        </w:rPr>
        <w:t>Removal of Housing as an Eligible D.C. Service;</w:t>
      </w:r>
    </w:p>
    <w:p w14:paraId="0F8D38A0" w14:textId="7982011C" w:rsidR="003B7A61" w:rsidRDefault="003B7A61" w:rsidP="003B7A61">
      <w:pPr>
        <w:pStyle w:val="BodyTextbullets125"/>
        <w:ind w:left="1440"/>
        <w:rPr>
          <w:noProof/>
        </w:rPr>
      </w:pPr>
      <w:r>
        <w:rPr>
          <w:noProof/>
        </w:rPr>
        <w:t>New Statutory Exemptions for Affordable Units, Attainable Units, Inclusionary Zoning Units, and Non-Profit Housing developments;</w:t>
      </w:r>
      <w:r w:rsidR="006C496F">
        <w:rPr>
          <w:noProof/>
        </w:rPr>
        <w:br/>
        <w:t xml:space="preserve">Note: Bill 134: </w:t>
      </w:r>
      <w:r w:rsidR="006C496F">
        <w:rPr>
          <w:i/>
          <w:iCs/>
          <w:noProof/>
        </w:rPr>
        <w:t xml:space="preserve">Affordable Homes and Good Jobs Act, 2023 </w:t>
      </w:r>
      <w:r w:rsidR="006C496F">
        <w:rPr>
          <w:noProof/>
        </w:rPr>
        <w:t>which was released on September 28, 2023 and received Royal Assent on December 4, 2023 provides a new definition of “affordable” under the D.C.A.:</w:t>
      </w:r>
    </w:p>
    <w:p w14:paraId="70B1E26E" w14:textId="77777777" w:rsidR="006C496F" w:rsidRDefault="006C496F" w:rsidP="006C496F">
      <w:pPr>
        <w:pStyle w:val="BodyTextbullets125"/>
        <w:numPr>
          <w:ilvl w:val="1"/>
          <w:numId w:val="1"/>
        </w:numPr>
        <w:ind w:left="1980"/>
        <w:rPr>
          <w:noProof/>
        </w:rPr>
      </w:pPr>
      <w:r>
        <w:rPr>
          <w:noProof/>
        </w:rPr>
        <w:t>Owned unit (lesser of): cost is less than 30% of the 60th percentile of income for households in the municipality or 90% of the average purchase price as defined in a new Bulletin.</w:t>
      </w:r>
    </w:p>
    <w:p w14:paraId="1C9F1E2E" w14:textId="2E0EB7A3" w:rsidR="006C496F" w:rsidRDefault="006C496F" w:rsidP="006C496F">
      <w:pPr>
        <w:pStyle w:val="BodyTextbullets125"/>
        <w:numPr>
          <w:ilvl w:val="1"/>
          <w:numId w:val="1"/>
        </w:numPr>
        <w:ind w:left="1980"/>
        <w:rPr>
          <w:noProof/>
        </w:rPr>
      </w:pPr>
      <w:r>
        <w:rPr>
          <w:noProof/>
        </w:rPr>
        <w:t>Rental unit (lesser of): rent is less than 30% of the 60th percentile of income for rental households or average market rent set out in a new Bulletin.</w:t>
      </w:r>
    </w:p>
    <w:p w14:paraId="37C1FFC2" w14:textId="77777777" w:rsidR="003B7A61" w:rsidRDefault="003B7A61" w:rsidP="003B7A61">
      <w:pPr>
        <w:pStyle w:val="BodyTextbullets125"/>
        <w:ind w:left="1440"/>
        <w:rPr>
          <w:noProof/>
        </w:rPr>
      </w:pPr>
      <w:r>
        <w:rPr>
          <w:noProof/>
        </w:rPr>
        <w:t>Historical Level of Service extended to 15-year period instead of the current 10-year period;</w:t>
      </w:r>
    </w:p>
    <w:p w14:paraId="287D80B5" w14:textId="77777777" w:rsidR="003B7A61" w:rsidRDefault="003B7A61" w:rsidP="003B7A61">
      <w:pPr>
        <w:pStyle w:val="BodyTextbullets125"/>
        <w:ind w:left="1440"/>
        <w:rPr>
          <w:noProof/>
        </w:rPr>
      </w:pPr>
      <w:r>
        <w:rPr>
          <w:noProof/>
        </w:rPr>
        <w:lastRenderedPageBreak/>
        <w:t>Capital Cost definition revised to remove studies and prescribe services for which land or an interest in land will be restricted;</w:t>
      </w:r>
    </w:p>
    <w:p w14:paraId="42A3DB85" w14:textId="4D3E67F5" w:rsidR="003B7A61" w:rsidRDefault="003B7A61" w:rsidP="003B7A61">
      <w:pPr>
        <w:pStyle w:val="BodyTextbullets125"/>
        <w:ind w:left="1440"/>
        <w:rPr>
          <w:noProof/>
        </w:rPr>
      </w:pPr>
      <w:r>
        <w:rPr>
          <w:noProof/>
        </w:rPr>
        <w:t>Mandatory Phase-in of a D.C. passed after January 1, 2022, as follows:</w:t>
      </w:r>
    </w:p>
    <w:p w14:paraId="1B2924C5" w14:textId="77777777" w:rsidR="003B7A61" w:rsidRDefault="003B7A61" w:rsidP="003B7A61">
      <w:pPr>
        <w:pStyle w:val="BodyTextbullets125"/>
        <w:numPr>
          <w:ilvl w:val="2"/>
          <w:numId w:val="1"/>
        </w:numPr>
        <w:rPr>
          <w:noProof/>
        </w:rPr>
      </w:pPr>
      <w:r>
        <w:rPr>
          <w:noProof/>
        </w:rPr>
        <w:t>Year 1 – 80% of the maximum charge;</w:t>
      </w:r>
    </w:p>
    <w:p w14:paraId="14744973" w14:textId="77777777" w:rsidR="003B7A61" w:rsidRDefault="003B7A61" w:rsidP="003B7A61">
      <w:pPr>
        <w:pStyle w:val="BodyTextbullets125"/>
        <w:numPr>
          <w:ilvl w:val="2"/>
          <w:numId w:val="1"/>
        </w:numPr>
        <w:rPr>
          <w:noProof/>
        </w:rPr>
      </w:pPr>
      <w:r>
        <w:rPr>
          <w:noProof/>
        </w:rPr>
        <w:t>Year 2 – 85% of the maximum charge;</w:t>
      </w:r>
    </w:p>
    <w:p w14:paraId="4C3276E0" w14:textId="77777777" w:rsidR="003B7A61" w:rsidRDefault="003B7A61" w:rsidP="003B7A61">
      <w:pPr>
        <w:pStyle w:val="BodyTextbullets125"/>
        <w:numPr>
          <w:ilvl w:val="2"/>
          <w:numId w:val="1"/>
        </w:numPr>
        <w:rPr>
          <w:noProof/>
        </w:rPr>
      </w:pPr>
      <w:r>
        <w:rPr>
          <w:noProof/>
        </w:rPr>
        <w:t>Year 3 – 90% of the maximum charge;</w:t>
      </w:r>
    </w:p>
    <w:p w14:paraId="47074EC2" w14:textId="77777777" w:rsidR="003B7A61" w:rsidRDefault="003B7A61" w:rsidP="003B7A61">
      <w:pPr>
        <w:pStyle w:val="BodyTextbullets125"/>
        <w:numPr>
          <w:ilvl w:val="2"/>
          <w:numId w:val="1"/>
        </w:numPr>
        <w:rPr>
          <w:noProof/>
        </w:rPr>
      </w:pPr>
      <w:r>
        <w:rPr>
          <w:noProof/>
        </w:rPr>
        <w:t xml:space="preserve">Year 4 – 95% of the maximum charge; and </w:t>
      </w:r>
    </w:p>
    <w:p w14:paraId="6E2703A2" w14:textId="4AE8D0C1" w:rsidR="003B7A61" w:rsidRDefault="003B7A61" w:rsidP="003B7A61">
      <w:pPr>
        <w:pStyle w:val="BodyTextbullets125"/>
        <w:numPr>
          <w:ilvl w:val="2"/>
          <w:numId w:val="1"/>
        </w:numPr>
        <w:rPr>
          <w:noProof/>
        </w:rPr>
      </w:pPr>
      <w:r>
        <w:rPr>
          <w:noProof/>
        </w:rPr>
        <w:t>Year 5 to expiry – 100% of the maximum charge.</w:t>
      </w:r>
    </w:p>
    <w:p w14:paraId="7FE6CBD6" w14:textId="77777777" w:rsidR="003B7A61" w:rsidRDefault="003B7A61" w:rsidP="003B7A61">
      <w:pPr>
        <w:pStyle w:val="BodyTextbullets125"/>
        <w:numPr>
          <w:ilvl w:val="1"/>
          <w:numId w:val="1"/>
        </w:numPr>
        <w:rPr>
          <w:noProof/>
        </w:rPr>
      </w:pPr>
      <w:r>
        <w:rPr>
          <w:noProof/>
        </w:rPr>
        <w:t>D.C. By-laws now have a maximum life of 10 years after the date the by-law comes into force;</w:t>
      </w:r>
    </w:p>
    <w:p w14:paraId="609D56C6" w14:textId="1FEB043E" w:rsidR="003B7A61" w:rsidRDefault="003B7A61" w:rsidP="003B7A61">
      <w:pPr>
        <w:pStyle w:val="BodyTextbullets125"/>
        <w:numPr>
          <w:ilvl w:val="1"/>
          <w:numId w:val="1"/>
        </w:numPr>
        <w:rPr>
          <w:noProof/>
        </w:rPr>
      </w:pPr>
      <w:r>
        <w:rPr>
          <w:noProof/>
        </w:rPr>
        <w:t>D.C. for Rental Housing developments to receive a discount as follows:</w:t>
      </w:r>
    </w:p>
    <w:p w14:paraId="479A9A46" w14:textId="77777777" w:rsidR="003B7A61" w:rsidRDefault="003B7A61" w:rsidP="003B7A61">
      <w:pPr>
        <w:pStyle w:val="BodyTextbullets125"/>
        <w:numPr>
          <w:ilvl w:val="2"/>
          <w:numId w:val="1"/>
        </w:numPr>
        <w:rPr>
          <w:noProof/>
        </w:rPr>
      </w:pPr>
      <w:r>
        <w:rPr>
          <w:noProof/>
        </w:rPr>
        <w:t>Three or more bedrooms – 25% reduction;</w:t>
      </w:r>
    </w:p>
    <w:p w14:paraId="111D57CF" w14:textId="77777777" w:rsidR="003B7A61" w:rsidRDefault="003B7A61" w:rsidP="003B7A61">
      <w:pPr>
        <w:pStyle w:val="BodyTextbullets125"/>
        <w:numPr>
          <w:ilvl w:val="2"/>
          <w:numId w:val="1"/>
        </w:numPr>
        <w:rPr>
          <w:noProof/>
        </w:rPr>
      </w:pPr>
      <w:r>
        <w:rPr>
          <w:noProof/>
        </w:rPr>
        <w:t>Two bedrooms – 20% reduction; and</w:t>
      </w:r>
    </w:p>
    <w:p w14:paraId="160E8FF9" w14:textId="2CB15949" w:rsidR="003B7A61" w:rsidRDefault="003B7A61" w:rsidP="003B7A61">
      <w:pPr>
        <w:pStyle w:val="BodyTextbullets125"/>
        <w:numPr>
          <w:ilvl w:val="2"/>
          <w:numId w:val="1"/>
        </w:numPr>
        <w:rPr>
          <w:noProof/>
        </w:rPr>
      </w:pPr>
      <w:r>
        <w:rPr>
          <w:noProof/>
        </w:rPr>
        <w:t>All other bedroom quantities – 15% reduction.</w:t>
      </w:r>
    </w:p>
    <w:p w14:paraId="2697701E" w14:textId="77777777" w:rsidR="003B7A61" w:rsidRDefault="003B7A61" w:rsidP="003B7A61">
      <w:pPr>
        <w:pStyle w:val="BodyTextbullets125"/>
        <w:numPr>
          <w:ilvl w:val="1"/>
          <w:numId w:val="1"/>
        </w:numPr>
        <w:rPr>
          <w:noProof/>
        </w:rPr>
      </w:pPr>
      <w:r>
        <w:rPr>
          <w:noProof/>
        </w:rPr>
        <w:t>Maximum Interest Rate for Installments and Determination of Charge for Eligible Site Plan and Zoning By-law Amendment Applications to be set at the average prime rate plus 1%; and</w:t>
      </w:r>
    </w:p>
    <w:p w14:paraId="2ABB18C4" w14:textId="2D22F796" w:rsidR="003B7A61" w:rsidRDefault="003B7A61" w:rsidP="003B7A61">
      <w:pPr>
        <w:pStyle w:val="BodyTextbullets125"/>
        <w:numPr>
          <w:ilvl w:val="1"/>
          <w:numId w:val="1"/>
        </w:numPr>
        <w:rPr>
          <w:noProof/>
        </w:rPr>
      </w:pPr>
      <w:r>
        <w:rPr>
          <w:noProof/>
        </w:rPr>
        <w:t>Requirement to Allocate Funds Received – municipalities are required to spend or allocate at least 60% of their reserve fund at the beginning of the year for water, wastewater, and services related to a highway.</w:t>
      </w:r>
    </w:p>
    <w:p w14:paraId="5E5B3361" w14:textId="28C6B385" w:rsidR="00551A91" w:rsidRPr="00AD7523" w:rsidRDefault="00551A91" w:rsidP="00B16524">
      <w:pPr>
        <w:pStyle w:val="BodyText125"/>
        <w:numPr>
          <w:ilvl w:val="0"/>
          <w:numId w:val="5"/>
        </w:numPr>
        <w:rPr>
          <w:noProof/>
        </w:rPr>
      </w:pPr>
      <w:r w:rsidRPr="00AD7523">
        <w:rPr>
          <w:noProof/>
        </w:rPr>
        <w:t xml:space="preserve">The growth forecast (Chapter 3) on which the </w:t>
      </w:r>
      <w:r w:rsidR="00A1355F" w:rsidRPr="00AD7523">
        <w:rPr>
          <w:noProof/>
        </w:rPr>
        <w:t>City</w:t>
      </w:r>
      <w:r w:rsidRPr="00AD7523">
        <w:rPr>
          <w:noProof/>
        </w:rPr>
        <w:t>-wide D.C. is based, projects the following population, housing</w:t>
      </w:r>
      <w:r w:rsidR="00723C86" w:rsidRPr="00AD7523">
        <w:rPr>
          <w:noProof/>
        </w:rPr>
        <w:t>,</w:t>
      </w:r>
      <w:r w:rsidRPr="00AD7523">
        <w:rPr>
          <w:noProof/>
        </w:rPr>
        <w:t xml:space="preserve"> and non-residential floor area for the </w:t>
      </w:r>
      <w:r w:rsidR="000A1C6B">
        <w:rPr>
          <w:noProof/>
        </w:rPr>
        <w:t xml:space="preserve">City-wide </w:t>
      </w:r>
      <w:r w:rsidRPr="00AD7523">
        <w:rPr>
          <w:noProof/>
        </w:rPr>
        <w:t>10-year (20</w:t>
      </w:r>
      <w:r w:rsidR="003B7A61" w:rsidRPr="00AD7523">
        <w:rPr>
          <w:noProof/>
        </w:rPr>
        <w:t>23</w:t>
      </w:r>
      <w:r w:rsidRPr="00AD7523">
        <w:rPr>
          <w:noProof/>
        </w:rPr>
        <w:t xml:space="preserve"> to 203</w:t>
      </w:r>
      <w:r w:rsidR="003B7A61" w:rsidRPr="00AD7523">
        <w:rPr>
          <w:noProof/>
        </w:rPr>
        <w:t>2</w:t>
      </w:r>
      <w:r w:rsidRPr="00AD7523">
        <w:rPr>
          <w:noProof/>
        </w:rPr>
        <w:t>) period</w:t>
      </w:r>
      <w:r w:rsidR="000A1C6B">
        <w:rPr>
          <w:noProof/>
        </w:rPr>
        <w:t xml:space="preserve"> and the Urban area 10-year period (2023 to 2032)</w:t>
      </w:r>
      <w:r w:rsidRPr="00AD7523">
        <w:rPr>
          <w:noProof/>
        </w:rPr>
        <w:t>.</w:t>
      </w:r>
    </w:p>
    <w:p w14:paraId="156854F1" w14:textId="78ECBEF8" w:rsidR="00B21242" w:rsidRDefault="00B21242" w:rsidP="00B21242">
      <w:pPr>
        <w:pStyle w:val="FigureTableTitles"/>
        <w:rPr>
          <w:noProof/>
        </w:rPr>
      </w:pPr>
      <w:r>
        <w:rPr>
          <w:noProof/>
        </w:rPr>
        <w:t>Table ES-1</w:t>
      </w:r>
    </w:p>
    <w:p w14:paraId="2D672608" w14:textId="44368273" w:rsidR="00B21242" w:rsidRDefault="00B21242" w:rsidP="00B21242">
      <w:pPr>
        <w:pStyle w:val="FigureTableTitles"/>
        <w:rPr>
          <w:noProof/>
        </w:rPr>
      </w:pPr>
      <w:r>
        <w:rPr>
          <w:noProof/>
        </w:rPr>
        <w:t>Summary of Growth Forecast by Planning Period</w:t>
      </w:r>
    </w:p>
    <w:tbl>
      <w:tblPr>
        <w:tblStyle w:val="TableGrid"/>
        <w:tblW w:w="8815" w:type="dxa"/>
        <w:jc w:val="center"/>
        <w:tblLook w:val="04A0" w:firstRow="1" w:lastRow="0" w:firstColumn="1" w:lastColumn="0" w:noHBand="0" w:noVBand="1"/>
      </w:tblPr>
      <w:tblGrid>
        <w:gridCol w:w="4267"/>
        <w:gridCol w:w="2208"/>
        <w:gridCol w:w="2340"/>
      </w:tblGrid>
      <w:tr w:rsidR="000A1C6B" w:rsidRPr="00A42AE8" w14:paraId="334C9DA5" w14:textId="48A20396" w:rsidTr="00C7030D">
        <w:trPr>
          <w:trHeight w:val="687"/>
          <w:jc w:val="center"/>
        </w:trPr>
        <w:tc>
          <w:tcPr>
            <w:cnfStyle w:val="001000000000" w:firstRow="0" w:lastRow="0" w:firstColumn="1" w:lastColumn="0" w:oddVBand="0" w:evenVBand="0" w:oddHBand="0" w:evenHBand="0" w:firstRowFirstColumn="0" w:firstRowLastColumn="0" w:lastRowFirstColumn="0" w:lastRowLastColumn="0"/>
            <w:tcW w:w="4267" w:type="dxa"/>
            <w:shd w:val="clear" w:color="auto" w:fill="425364"/>
            <w:vAlign w:val="center"/>
          </w:tcPr>
          <w:p w14:paraId="3AE157C8" w14:textId="77777777" w:rsidR="000A1C6B" w:rsidRPr="00A42AE8" w:rsidRDefault="000A1C6B" w:rsidP="00381310">
            <w:pPr>
              <w:pStyle w:val="BodyText125"/>
              <w:spacing w:after="0"/>
              <w:jc w:val="center"/>
              <w:rPr>
                <w:b/>
                <w:bCs/>
                <w:noProof/>
                <w:color w:val="FFFFFF" w:themeColor="background1"/>
              </w:rPr>
            </w:pPr>
            <w:r w:rsidRPr="00A42AE8">
              <w:rPr>
                <w:b/>
                <w:bCs/>
                <w:noProof/>
                <w:color w:val="FFFFFF" w:themeColor="background1"/>
              </w:rPr>
              <w:br/>
              <w:t>Measure</w:t>
            </w:r>
          </w:p>
        </w:tc>
        <w:tc>
          <w:tcPr>
            <w:tcW w:w="2208" w:type="dxa"/>
            <w:shd w:val="clear" w:color="auto" w:fill="425364"/>
            <w:vAlign w:val="center"/>
          </w:tcPr>
          <w:p w14:paraId="71F1633A" w14:textId="40242D28" w:rsidR="000A1C6B" w:rsidRPr="00A42AE8" w:rsidRDefault="000A1C6B" w:rsidP="00381310">
            <w:pPr>
              <w:pStyle w:val="BodyText125"/>
              <w:spacing w:after="0"/>
              <w:jc w:val="center"/>
              <w:cnfStyle w:val="000000000000" w:firstRow="0" w:lastRow="0" w:firstColumn="0" w:lastColumn="0" w:oddVBand="0" w:evenVBand="0" w:oddHBand="0" w:evenHBand="0" w:firstRowFirstColumn="0" w:firstRowLastColumn="0" w:lastRowFirstColumn="0" w:lastRowLastColumn="0"/>
              <w:rPr>
                <w:b/>
                <w:bCs/>
                <w:noProof/>
                <w:color w:val="FFFFFF" w:themeColor="background1"/>
              </w:rPr>
            </w:pPr>
            <w:r w:rsidRPr="00A42AE8">
              <w:rPr>
                <w:b/>
                <w:bCs/>
                <w:noProof/>
                <w:color w:val="FFFFFF" w:themeColor="background1"/>
              </w:rPr>
              <w:t>10-year</w:t>
            </w:r>
            <w:r w:rsidRPr="00A42AE8">
              <w:rPr>
                <w:b/>
                <w:bCs/>
                <w:noProof/>
                <w:color w:val="FFFFFF" w:themeColor="background1"/>
              </w:rPr>
              <w:br/>
              <w:t>202</w:t>
            </w:r>
            <w:r>
              <w:rPr>
                <w:b/>
                <w:bCs/>
                <w:noProof/>
                <w:color w:val="FFFFFF" w:themeColor="background1"/>
              </w:rPr>
              <w:t>3</w:t>
            </w:r>
            <w:r w:rsidRPr="00A42AE8">
              <w:rPr>
                <w:b/>
                <w:bCs/>
                <w:noProof/>
                <w:color w:val="FFFFFF" w:themeColor="background1"/>
              </w:rPr>
              <w:t xml:space="preserve"> to 203</w:t>
            </w:r>
            <w:r>
              <w:rPr>
                <w:b/>
                <w:bCs/>
                <w:noProof/>
                <w:color w:val="FFFFFF" w:themeColor="background1"/>
              </w:rPr>
              <w:t>2</w:t>
            </w:r>
          </w:p>
        </w:tc>
        <w:tc>
          <w:tcPr>
            <w:tcW w:w="2340" w:type="dxa"/>
            <w:shd w:val="clear" w:color="auto" w:fill="425364"/>
          </w:tcPr>
          <w:p w14:paraId="3C5255F3" w14:textId="77777777" w:rsidR="000A1C6B" w:rsidRDefault="000A1C6B" w:rsidP="00381310">
            <w:pPr>
              <w:pStyle w:val="BodyText125"/>
              <w:spacing w:after="0"/>
              <w:jc w:val="center"/>
              <w:cnfStyle w:val="000000000000" w:firstRow="0" w:lastRow="0" w:firstColumn="0" w:lastColumn="0" w:oddVBand="0" w:evenVBand="0" w:oddHBand="0" w:evenHBand="0" w:firstRowFirstColumn="0" w:firstRowLastColumn="0" w:lastRowFirstColumn="0" w:lastRowLastColumn="0"/>
              <w:rPr>
                <w:b/>
                <w:bCs/>
                <w:noProof/>
                <w:color w:val="FFFFFF" w:themeColor="background1"/>
              </w:rPr>
            </w:pPr>
            <w:r>
              <w:rPr>
                <w:b/>
                <w:bCs/>
                <w:noProof/>
                <w:color w:val="FFFFFF" w:themeColor="background1"/>
              </w:rPr>
              <w:t>10-year Urban</w:t>
            </w:r>
          </w:p>
          <w:p w14:paraId="0A7061F8" w14:textId="2A6CEF57" w:rsidR="000A1C6B" w:rsidRPr="00A42AE8" w:rsidRDefault="000A1C6B" w:rsidP="000A1C6B">
            <w:pPr>
              <w:pStyle w:val="BodyText125"/>
              <w:spacing w:after="0"/>
              <w:jc w:val="center"/>
              <w:cnfStyle w:val="000000000000" w:firstRow="0" w:lastRow="0" w:firstColumn="0" w:lastColumn="0" w:oddVBand="0" w:evenVBand="0" w:oddHBand="0" w:evenHBand="0" w:firstRowFirstColumn="0" w:firstRowLastColumn="0" w:lastRowFirstColumn="0" w:lastRowLastColumn="0"/>
              <w:rPr>
                <w:b/>
                <w:bCs/>
                <w:noProof/>
                <w:color w:val="FFFFFF" w:themeColor="background1"/>
              </w:rPr>
            </w:pPr>
            <w:r>
              <w:rPr>
                <w:b/>
                <w:bCs/>
                <w:noProof/>
                <w:color w:val="FFFFFF" w:themeColor="background1"/>
              </w:rPr>
              <w:t>2023 to 2032</w:t>
            </w:r>
          </w:p>
        </w:tc>
      </w:tr>
      <w:tr w:rsidR="000A1C6B" w:rsidRPr="00A42AE8" w14:paraId="34DEEBDC" w14:textId="146B1DB8" w:rsidTr="00C7030D">
        <w:trPr>
          <w:trHeight w:val="452"/>
          <w:jc w:val="center"/>
        </w:trPr>
        <w:tc>
          <w:tcPr>
            <w:cnfStyle w:val="001000000000" w:firstRow="0" w:lastRow="0" w:firstColumn="1" w:lastColumn="0" w:oddVBand="0" w:evenVBand="0" w:oddHBand="0" w:evenHBand="0" w:firstRowFirstColumn="0" w:firstRowLastColumn="0" w:lastRowFirstColumn="0" w:lastRowLastColumn="0"/>
            <w:tcW w:w="4267" w:type="dxa"/>
            <w:shd w:val="clear" w:color="auto" w:fill="auto"/>
            <w:vAlign w:val="center"/>
          </w:tcPr>
          <w:p w14:paraId="1D488B2D" w14:textId="77777777" w:rsidR="000A1C6B" w:rsidRPr="00A42AE8" w:rsidRDefault="000A1C6B" w:rsidP="000A1C6B">
            <w:pPr>
              <w:pStyle w:val="BodyText125"/>
              <w:spacing w:after="0"/>
              <w:rPr>
                <w:noProof/>
              </w:rPr>
            </w:pPr>
            <w:r w:rsidRPr="00A42AE8">
              <w:rPr>
                <w:noProof/>
              </w:rPr>
              <w:t>(Net) Population Increase</w:t>
            </w:r>
          </w:p>
        </w:tc>
        <w:tc>
          <w:tcPr>
            <w:tcW w:w="2208" w:type="dxa"/>
            <w:shd w:val="clear" w:color="auto" w:fill="auto"/>
            <w:vAlign w:val="center"/>
          </w:tcPr>
          <w:p w14:paraId="030FF4B9" w14:textId="70BEB940" w:rsidR="000A1C6B" w:rsidRPr="00A42AE8" w:rsidRDefault="000A1C6B" w:rsidP="000A1C6B">
            <w:pPr>
              <w:pStyle w:val="BodyText125"/>
              <w:spacing w:after="0"/>
              <w:jc w:val="right"/>
              <w:cnfStyle w:val="000000000000" w:firstRow="0" w:lastRow="0" w:firstColumn="0" w:lastColumn="0" w:oddVBand="0" w:evenVBand="0" w:oddHBand="0" w:evenHBand="0" w:firstRowFirstColumn="0" w:firstRowLastColumn="0" w:lastRowFirstColumn="0" w:lastRowLastColumn="0"/>
              <w:rPr>
                <w:noProof/>
              </w:rPr>
            </w:pPr>
            <w:r>
              <w:rPr>
                <w:noProof/>
              </w:rPr>
              <w:t>23,500</w:t>
            </w:r>
          </w:p>
        </w:tc>
        <w:tc>
          <w:tcPr>
            <w:tcW w:w="2340" w:type="dxa"/>
            <w:vAlign w:val="center"/>
          </w:tcPr>
          <w:p w14:paraId="6C5FDF47" w14:textId="26F7F6CB" w:rsidR="000A1C6B" w:rsidRDefault="000A1C6B" w:rsidP="000A1C6B">
            <w:pPr>
              <w:pStyle w:val="BodyText125"/>
              <w:spacing w:after="0"/>
              <w:jc w:val="right"/>
              <w:cnfStyle w:val="000000000000" w:firstRow="0" w:lastRow="0" w:firstColumn="0" w:lastColumn="0" w:oddVBand="0" w:evenVBand="0" w:oddHBand="0" w:evenHBand="0" w:firstRowFirstColumn="0" w:firstRowLastColumn="0" w:lastRowFirstColumn="0" w:lastRowLastColumn="0"/>
              <w:rPr>
                <w:noProof/>
              </w:rPr>
            </w:pPr>
            <w:r>
              <w:rPr>
                <w:noProof/>
              </w:rPr>
              <w:t>23,418</w:t>
            </w:r>
          </w:p>
        </w:tc>
      </w:tr>
      <w:tr w:rsidR="000A1C6B" w:rsidRPr="00A42AE8" w14:paraId="22673322" w14:textId="350592EA" w:rsidTr="00C7030D">
        <w:trPr>
          <w:trHeight w:val="461"/>
          <w:jc w:val="center"/>
        </w:trPr>
        <w:tc>
          <w:tcPr>
            <w:cnfStyle w:val="001000000000" w:firstRow="0" w:lastRow="0" w:firstColumn="1" w:lastColumn="0" w:oddVBand="0" w:evenVBand="0" w:oddHBand="0" w:evenHBand="0" w:firstRowFirstColumn="0" w:firstRowLastColumn="0" w:lastRowFirstColumn="0" w:lastRowLastColumn="0"/>
            <w:tcW w:w="4267" w:type="dxa"/>
            <w:shd w:val="clear" w:color="auto" w:fill="auto"/>
            <w:vAlign w:val="center"/>
          </w:tcPr>
          <w:p w14:paraId="670B2944" w14:textId="77777777" w:rsidR="000A1C6B" w:rsidRPr="00A42AE8" w:rsidRDefault="000A1C6B" w:rsidP="000A1C6B">
            <w:pPr>
              <w:pStyle w:val="BodyText125"/>
              <w:spacing w:after="0"/>
              <w:rPr>
                <w:noProof/>
              </w:rPr>
            </w:pPr>
            <w:r w:rsidRPr="00A42AE8">
              <w:rPr>
                <w:noProof/>
              </w:rPr>
              <w:t>Residential Unit Increase</w:t>
            </w:r>
          </w:p>
        </w:tc>
        <w:tc>
          <w:tcPr>
            <w:tcW w:w="2208" w:type="dxa"/>
            <w:shd w:val="clear" w:color="auto" w:fill="auto"/>
            <w:vAlign w:val="center"/>
          </w:tcPr>
          <w:p w14:paraId="323B0772" w14:textId="2AEDD6A6" w:rsidR="000A1C6B" w:rsidRPr="00A42AE8" w:rsidRDefault="000A1C6B" w:rsidP="000A1C6B">
            <w:pPr>
              <w:pStyle w:val="BodyText125"/>
              <w:spacing w:after="0"/>
              <w:jc w:val="right"/>
              <w:cnfStyle w:val="000000000000" w:firstRow="0" w:lastRow="0" w:firstColumn="0" w:lastColumn="0" w:oddVBand="0" w:evenVBand="0" w:oddHBand="0" w:evenHBand="0" w:firstRowFirstColumn="0" w:firstRowLastColumn="0" w:lastRowFirstColumn="0" w:lastRowLastColumn="0"/>
              <w:rPr>
                <w:noProof/>
              </w:rPr>
            </w:pPr>
            <w:r>
              <w:rPr>
                <w:noProof/>
              </w:rPr>
              <w:t>9,624</w:t>
            </w:r>
          </w:p>
        </w:tc>
        <w:tc>
          <w:tcPr>
            <w:tcW w:w="2340" w:type="dxa"/>
            <w:vAlign w:val="center"/>
          </w:tcPr>
          <w:p w14:paraId="31E1F90B" w14:textId="35831424" w:rsidR="000A1C6B" w:rsidRDefault="000A1C6B" w:rsidP="000A1C6B">
            <w:pPr>
              <w:pStyle w:val="BodyText125"/>
              <w:spacing w:after="0"/>
              <w:jc w:val="right"/>
              <w:cnfStyle w:val="000000000000" w:firstRow="0" w:lastRow="0" w:firstColumn="0" w:lastColumn="0" w:oddVBand="0" w:evenVBand="0" w:oddHBand="0" w:evenHBand="0" w:firstRowFirstColumn="0" w:firstRowLastColumn="0" w:lastRowFirstColumn="0" w:lastRowLastColumn="0"/>
              <w:rPr>
                <w:noProof/>
              </w:rPr>
            </w:pPr>
            <w:r>
              <w:rPr>
                <w:noProof/>
              </w:rPr>
              <w:t>9,602</w:t>
            </w:r>
          </w:p>
        </w:tc>
      </w:tr>
      <w:tr w:rsidR="000A1C6B" w:rsidRPr="00A42AE8" w14:paraId="0C4D8DD6" w14:textId="451BF343" w:rsidTr="00C7030D">
        <w:trPr>
          <w:trHeight w:val="687"/>
          <w:jc w:val="center"/>
        </w:trPr>
        <w:tc>
          <w:tcPr>
            <w:cnfStyle w:val="001000000000" w:firstRow="0" w:lastRow="0" w:firstColumn="1" w:lastColumn="0" w:oddVBand="0" w:evenVBand="0" w:oddHBand="0" w:evenHBand="0" w:firstRowFirstColumn="0" w:firstRowLastColumn="0" w:lastRowFirstColumn="0" w:lastRowLastColumn="0"/>
            <w:tcW w:w="4267" w:type="dxa"/>
            <w:shd w:val="clear" w:color="auto" w:fill="auto"/>
            <w:vAlign w:val="center"/>
          </w:tcPr>
          <w:p w14:paraId="6C2171FF" w14:textId="77777777" w:rsidR="000A1C6B" w:rsidRPr="00A42AE8" w:rsidRDefault="000A1C6B" w:rsidP="000A1C6B">
            <w:pPr>
              <w:pStyle w:val="BodyText125"/>
              <w:spacing w:after="0"/>
              <w:rPr>
                <w:noProof/>
              </w:rPr>
            </w:pPr>
            <w:r w:rsidRPr="00A42AE8">
              <w:rPr>
                <w:noProof/>
              </w:rPr>
              <w:t>Non-Residential Gross Floor Area Increase (sq.</w:t>
            </w:r>
            <w:r>
              <w:rPr>
                <w:noProof/>
              </w:rPr>
              <w:t xml:space="preserve"> </w:t>
            </w:r>
            <w:r w:rsidRPr="00A42AE8">
              <w:rPr>
                <w:noProof/>
              </w:rPr>
              <w:t>ft.)</w:t>
            </w:r>
          </w:p>
        </w:tc>
        <w:tc>
          <w:tcPr>
            <w:tcW w:w="2208" w:type="dxa"/>
            <w:shd w:val="clear" w:color="auto" w:fill="auto"/>
            <w:vAlign w:val="center"/>
          </w:tcPr>
          <w:p w14:paraId="5A1F2AE3" w14:textId="46C4E571" w:rsidR="000A1C6B" w:rsidRPr="00A42AE8" w:rsidRDefault="000A1C6B" w:rsidP="000A1C6B">
            <w:pPr>
              <w:pStyle w:val="BodyText125"/>
              <w:spacing w:after="0"/>
              <w:jc w:val="right"/>
              <w:cnfStyle w:val="000000000000" w:firstRow="0" w:lastRow="0" w:firstColumn="0" w:lastColumn="0" w:oddVBand="0" w:evenVBand="0" w:oddHBand="0" w:evenHBand="0" w:firstRowFirstColumn="0" w:firstRowLastColumn="0" w:lastRowFirstColumn="0" w:lastRowLastColumn="0"/>
              <w:rPr>
                <w:noProof/>
              </w:rPr>
            </w:pPr>
            <w:r>
              <w:rPr>
                <w:noProof/>
              </w:rPr>
              <w:t>8,168,500</w:t>
            </w:r>
          </w:p>
        </w:tc>
        <w:tc>
          <w:tcPr>
            <w:tcW w:w="2340" w:type="dxa"/>
            <w:vAlign w:val="center"/>
          </w:tcPr>
          <w:p w14:paraId="5C502A21" w14:textId="163703E9" w:rsidR="000A1C6B" w:rsidRDefault="000A1C6B" w:rsidP="000A1C6B">
            <w:pPr>
              <w:pStyle w:val="BodyText125"/>
              <w:spacing w:after="0"/>
              <w:jc w:val="right"/>
              <w:cnfStyle w:val="000000000000" w:firstRow="0" w:lastRow="0" w:firstColumn="0" w:lastColumn="0" w:oddVBand="0" w:evenVBand="0" w:oddHBand="0" w:evenHBand="0" w:firstRowFirstColumn="0" w:firstRowLastColumn="0" w:lastRowFirstColumn="0" w:lastRowLastColumn="0"/>
              <w:rPr>
                <w:noProof/>
              </w:rPr>
            </w:pPr>
            <w:r>
              <w:rPr>
                <w:noProof/>
              </w:rPr>
              <w:t>8,168,500</w:t>
            </w:r>
          </w:p>
        </w:tc>
      </w:tr>
    </w:tbl>
    <w:p w14:paraId="7A375C80" w14:textId="2731F4C0" w:rsidR="00B21242" w:rsidRDefault="00506C8E" w:rsidP="00B21242">
      <w:pPr>
        <w:pStyle w:val="BodyText125"/>
        <w:rPr>
          <w:noProof/>
        </w:rPr>
      </w:pPr>
      <w:r>
        <w:rPr>
          <w:noProof/>
        </w:rPr>
        <w:t xml:space="preserve">    </w:t>
      </w:r>
      <w:r w:rsidR="00B21242">
        <w:rPr>
          <w:noProof/>
        </w:rPr>
        <w:t>Source Watson &amp; Associates Economists Ltd. Forecast 2023</w:t>
      </w:r>
    </w:p>
    <w:p w14:paraId="7FDF25EE" w14:textId="57DB5414" w:rsidR="00551A91" w:rsidRPr="00C7030D" w:rsidRDefault="00551A91" w:rsidP="00B16524">
      <w:pPr>
        <w:pStyle w:val="BodyText125"/>
        <w:numPr>
          <w:ilvl w:val="0"/>
          <w:numId w:val="5"/>
        </w:numPr>
        <w:rPr>
          <w:noProof/>
        </w:rPr>
      </w:pPr>
      <w:r w:rsidRPr="009E53DB">
        <w:rPr>
          <w:noProof/>
        </w:rPr>
        <w:lastRenderedPageBreak/>
        <w:t xml:space="preserve">On June </w:t>
      </w:r>
      <w:r w:rsidR="00B21242">
        <w:rPr>
          <w:noProof/>
        </w:rPr>
        <w:t>18</w:t>
      </w:r>
      <w:r w:rsidRPr="009E53DB">
        <w:rPr>
          <w:noProof/>
        </w:rPr>
        <w:t>, 20</w:t>
      </w:r>
      <w:r w:rsidR="00B21242">
        <w:rPr>
          <w:noProof/>
        </w:rPr>
        <w:t>1</w:t>
      </w:r>
      <w:r w:rsidRPr="009E53DB">
        <w:rPr>
          <w:noProof/>
        </w:rPr>
        <w:t xml:space="preserve">9, </w:t>
      </w:r>
      <w:r w:rsidRPr="00B21242">
        <w:rPr>
          <w:noProof/>
        </w:rPr>
        <w:t xml:space="preserve">the </w:t>
      </w:r>
      <w:r w:rsidR="00A1355F" w:rsidRPr="00B21242">
        <w:rPr>
          <w:noProof/>
        </w:rPr>
        <w:t>City</w:t>
      </w:r>
      <w:r w:rsidRPr="00B21242">
        <w:rPr>
          <w:noProof/>
        </w:rPr>
        <w:t xml:space="preserve"> of </w:t>
      </w:r>
      <w:r w:rsidR="00A1355F" w:rsidRPr="00B21242">
        <w:rPr>
          <w:noProof/>
        </w:rPr>
        <w:t>Cambridge</w:t>
      </w:r>
      <w:r w:rsidRPr="00B21242">
        <w:rPr>
          <w:noProof/>
        </w:rPr>
        <w:t xml:space="preserve"> passed</w:t>
      </w:r>
      <w:r w:rsidRPr="009E53DB">
        <w:rPr>
          <w:noProof/>
        </w:rPr>
        <w:t xml:space="preserve"> By-</w:t>
      </w:r>
      <w:r w:rsidRPr="00B21242">
        <w:rPr>
          <w:noProof/>
        </w:rPr>
        <w:t xml:space="preserve">law </w:t>
      </w:r>
      <w:r w:rsidR="00B21242" w:rsidRPr="00B21242">
        <w:rPr>
          <w:noProof/>
        </w:rPr>
        <w:t>19-094</w:t>
      </w:r>
      <w:r w:rsidRPr="00B21242">
        <w:rPr>
          <w:noProof/>
        </w:rPr>
        <w:t xml:space="preserve"> under</w:t>
      </w:r>
      <w:r w:rsidRPr="009E53DB">
        <w:rPr>
          <w:noProof/>
        </w:rPr>
        <w:t xml:space="preserve"> the D.C.A.</w:t>
      </w:r>
      <w:r w:rsidR="00B21242">
        <w:rPr>
          <w:noProof/>
        </w:rPr>
        <w:t xml:space="preserve">, </w:t>
      </w:r>
      <w:r w:rsidR="00381310">
        <w:rPr>
          <w:noProof/>
        </w:rPr>
        <w:t xml:space="preserve">which </w:t>
      </w:r>
      <w:r w:rsidR="00B21242">
        <w:rPr>
          <w:noProof/>
        </w:rPr>
        <w:t xml:space="preserve">was amended </w:t>
      </w:r>
      <w:r w:rsidR="00381310">
        <w:rPr>
          <w:noProof/>
        </w:rPr>
        <w:t xml:space="preserve">by </w:t>
      </w:r>
      <w:r w:rsidR="00553C71">
        <w:rPr>
          <w:noProof/>
        </w:rPr>
        <w:t>B</w:t>
      </w:r>
      <w:r w:rsidR="00B21242">
        <w:rPr>
          <w:noProof/>
        </w:rPr>
        <w:t xml:space="preserve">y-law 22-003 on </w:t>
      </w:r>
      <w:r w:rsidR="00553C71">
        <w:rPr>
          <w:noProof/>
        </w:rPr>
        <w:t>January 18, 2022</w:t>
      </w:r>
      <w:r w:rsidR="004518C9">
        <w:rPr>
          <w:noProof/>
        </w:rPr>
        <w:t xml:space="preserve"> and 22-025 on April 19, 2022</w:t>
      </w:r>
      <w:r w:rsidR="00553C71">
        <w:rPr>
          <w:noProof/>
        </w:rPr>
        <w:t>.</w:t>
      </w:r>
      <w:r w:rsidRPr="009E53DB">
        <w:rPr>
          <w:noProof/>
        </w:rPr>
        <w:t xml:space="preserve"> </w:t>
      </w:r>
      <w:r w:rsidR="00381310">
        <w:rPr>
          <w:noProof/>
        </w:rPr>
        <w:t xml:space="preserve"> </w:t>
      </w:r>
      <w:r w:rsidRPr="009E53DB">
        <w:rPr>
          <w:noProof/>
        </w:rPr>
        <w:t>The by-law imposes D.C.s on residential and non-residential uses.  Th</w:t>
      </w:r>
      <w:r w:rsidR="00553C71">
        <w:rPr>
          <w:noProof/>
        </w:rPr>
        <w:t>is</w:t>
      </w:r>
      <w:r w:rsidRPr="009E53DB">
        <w:rPr>
          <w:noProof/>
        </w:rPr>
        <w:t xml:space="preserve"> by-law will expire on </w:t>
      </w:r>
      <w:r w:rsidRPr="00553C71">
        <w:rPr>
          <w:noProof/>
        </w:rPr>
        <w:t>Ju</w:t>
      </w:r>
      <w:r w:rsidR="00553C71" w:rsidRPr="00553C71">
        <w:rPr>
          <w:noProof/>
        </w:rPr>
        <w:t>ne 30</w:t>
      </w:r>
      <w:r w:rsidRPr="00553C71">
        <w:rPr>
          <w:noProof/>
        </w:rPr>
        <w:t>, 20</w:t>
      </w:r>
      <w:r w:rsidR="00553C71" w:rsidRPr="00553C71">
        <w:rPr>
          <w:noProof/>
        </w:rPr>
        <w:t>2</w:t>
      </w:r>
      <w:r w:rsidRPr="00553C71">
        <w:rPr>
          <w:noProof/>
        </w:rPr>
        <w:t>4</w:t>
      </w:r>
      <w:r w:rsidRPr="009E53DB">
        <w:rPr>
          <w:noProof/>
        </w:rPr>
        <w:t xml:space="preserve">.  </w:t>
      </w:r>
      <w:r w:rsidRPr="00C7030D">
        <w:rPr>
          <w:noProof/>
        </w:rPr>
        <w:t xml:space="preserve">The </w:t>
      </w:r>
      <w:r w:rsidR="00A1355F" w:rsidRPr="00C7030D">
        <w:rPr>
          <w:noProof/>
        </w:rPr>
        <w:t>City</w:t>
      </w:r>
      <w:r w:rsidRPr="00C7030D">
        <w:rPr>
          <w:noProof/>
        </w:rPr>
        <w:t xml:space="preserve"> is undertaking a D.C. public process and anticipates passing a new by-law in advance of the expiry date.  The mandatory public meeting has been set for </w:t>
      </w:r>
      <w:r w:rsidR="00FF04DE" w:rsidRPr="00C7030D">
        <w:rPr>
          <w:noProof/>
        </w:rPr>
        <w:t>March 19</w:t>
      </w:r>
      <w:r w:rsidRPr="00C7030D">
        <w:rPr>
          <w:noProof/>
        </w:rPr>
        <w:t>, 20</w:t>
      </w:r>
      <w:r w:rsidR="00553C71" w:rsidRPr="00C7030D">
        <w:rPr>
          <w:noProof/>
        </w:rPr>
        <w:t>2</w:t>
      </w:r>
      <w:r w:rsidR="00F43901" w:rsidRPr="00C7030D">
        <w:rPr>
          <w:noProof/>
        </w:rPr>
        <w:t>4</w:t>
      </w:r>
      <w:r w:rsidRPr="00C7030D">
        <w:rPr>
          <w:noProof/>
        </w:rPr>
        <w:t xml:space="preserve"> with adoption of the by-law </w:t>
      </w:r>
      <w:r w:rsidR="00C7030D">
        <w:rPr>
          <w:noProof/>
        </w:rPr>
        <w:t xml:space="preserve">anticipated for </w:t>
      </w:r>
      <w:r w:rsidR="004F70E1" w:rsidRPr="00C7030D">
        <w:rPr>
          <w:noProof/>
        </w:rPr>
        <w:t>May 14</w:t>
      </w:r>
      <w:r w:rsidRPr="00C7030D">
        <w:rPr>
          <w:noProof/>
        </w:rPr>
        <w:t>, 20</w:t>
      </w:r>
      <w:r w:rsidR="00553C71" w:rsidRPr="00C7030D">
        <w:rPr>
          <w:noProof/>
        </w:rPr>
        <w:t>2</w:t>
      </w:r>
      <w:r w:rsidR="00F43901" w:rsidRPr="00C7030D">
        <w:rPr>
          <w:noProof/>
        </w:rPr>
        <w:t>4</w:t>
      </w:r>
      <w:r w:rsidRPr="00C7030D">
        <w:rPr>
          <w:noProof/>
        </w:rPr>
        <w:t>.</w:t>
      </w:r>
    </w:p>
    <w:p w14:paraId="2EBF0CAE" w14:textId="138926DC" w:rsidR="00551A91" w:rsidRPr="009E53DB" w:rsidRDefault="00551A91" w:rsidP="00B16524">
      <w:pPr>
        <w:pStyle w:val="BodyText125"/>
        <w:numPr>
          <w:ilvl w:val="0"/>
          <w:numId w:val="5"/>
        </w:numPr>
        <w:rPr>
          <w:noProof/>
        </w:rPr>
      </w:pPr>
      <w:r w:rsidRPr="00553C71">
        <w:rPr>
          <w:noProof/>
        </w:rPr>
        <w:t xml:space="preserve">The </w:t>
      </w:r>
      <w:r w:rsidR="00A1355F" w:rsidRPr="00553C71">
        <w:rPr>
          <w:noProof/>
        </w:rPr>
        <w:t>City</w:t>
      </w:r>
      <w:r w:rsidRPr="00553C71">
        <w:rPr>
          <w:noProof/>
        </w:rPr>
        <w:t>’s D.C.</w:t>
      </w:r>
      <w:r w:rsidRPr="009E53DB">
        <w:rPr>
          <w:noProof/>
        </w:rPr>
        <w:t xml:space="preserve"> currently in effect </w:t>
      </w:r>
      <w:r w:rsidR="00723C86">
        <w:rPr>
          <w:noProof/>
        </w:rPr>
        <w:t>is</w:t>
      </w:r>
      <w:r w:rsidRPr="009E53DB">
        <w:rPr>
          <w:noProof/>
        </w:rPr>
        <w:t xml:space="preserve"> $</w:t>
      </w:r>
      <w:r w:rsidR="00553C71">
        <w:rPr>
          <w:noProof/>
        </w:rPr>
        <w:t>3</w:t>
      </w:r>
      <w:r w:rsidR="00AD7523">
        <w:rPr>
          <w:noProof/>
        </w:rPr>
        <w:t>2</w:t>
      </w:r>
      <w:r w:rsidRPr="009E53DB">
        <w:rPr>
          <w:noProof/>
        </w:rPr>
        <w:t>,</w:t>
      </w:r>
      <w:r w:rsidR="00AD7523">
        <w:rPr>
          <w:noProof/>
        </w:rPr>
        <w:t>187</w:t>
      </w:r>
      <w:r w:rsidRPr="009E53DB">
        <w:rPr>
          <w:noProof/>
        </w:rPr>
        <w:t xml:space="preserve"> for single detached dwelling units for full services</w:t>
      </w:r>
      <w:r w:rsidR="00553C71">
        <w:rPr>
          <w:noProof/>
        </w:rPr>
        <w:t xml:space="preserve"> and </w:t>
      </w:r>
      <w:r w:rsidR="00766820">
        <w:rPr>
          <w:noProof/>
        </w:rPr>
        <w:t>$</w:t>
      </w:r>
      <w:r w:rsidR="00AD7523">
        <w:rPr>
          <w:noProof/>
        </w:rPr>
        <w:t>7</w:t>
      </w:r>
      <w:r w:rsidR="00766820">
        <w:rPr>
          <w:noProof/>
        </w:rPr>
        <w:t>.</w:t>
      </w:r>
      <w:r w:rsidR="00AD7523">
        <w:rPr>
          <w:noProof/>
        </w:rPr>
        <w:t>43</w:t>
      </w:r>
      <w:r w:rsidR="00766820">
        <w:rPr>
          <w:noProof/>
        </w:rPr>
        <w:t xml:space="preserve"> per square foot (sq.ft</w:t>
      </w:r>
      <w:r w:rsidRPr="009E53DB">
        <w:rPr>
          <w:noProof/>
        </w:rPr>
        <w:t>.</w:t>
      </w:r>
      <w:r w:rsidR="00766820">
        <w:rPr>
          <w:noProof/>
        </w:rPr>
        <w:t>) for non-residential.</w:t>
      </w:r>
      <w:r w:rsidRPr="009E53DB">
        <w:rPr>
          <w:noProof/>
        </w:rPr>
        <w:t xml:space="preserve">  This report has undertaken a recalculation of the charge</w:t>
      </w:r>
      <w:r w:rsidR="00723C86">
        <w:rPr>
          <w:noProof/>
        </w:rPr>
        <w:t>s</w:t>
      </w:r>
      <w:r w:rsidRPr="009E53DB">
        <w:rPr>
          <w:noProof/>
        </w:rPr>
        <w:t xml:space="preserve"> based on future identified needs (presented in Schedule ES-</w:t>
      </w:r>
      <w:r w:rsidR="00766820">
        <w:rPr>
          <w:noProof/>
        </w:rPr>
        <w:t>3</w:t>
      </w:r>
      <w:r w:rsidRPr="009E53DB">
        <w:rPr>
          <w:noProof/>
        </w:rPr>
        <w:t xml:space="preserve"> for residential and </w:t>
      </w:r>
      <w:r w:rsidRPr="007A3A29">
        <w:rPr>
          <w:noProof/>
        </w:rPr>
        <w:t>non-residential</w:t>
      </w:r>
      <w:r w:rsidR="00766820" w:rsidRPr="007A3A29">
        <w:rPr>
          <w:noProof/>
        </w:rPr>
        <w:t xml:space="preserve"> development</w:t>
      </w:r>
      <w:r w:rsidRPr="007A3A29">
        <w:rPr>
          <w:noProof/>
        </w:rPr>
        <w:t>).  Charges have been provided on a</w:t>
      </w:r>
      <w:r w:rsidR="007D0EB3">
        <w:rPr>
          <w:noProof/>
        </w:rPr>
        <w:t>n urban area basis for water, wastewater, and stormwater, and a</w:t>
      </w:r>
      <w:r w:rsidRPr="007A3A29">
        <w:rPr>
          <w:noProof/>
        </w:rPr>
        <w:t xml:space="preserve"> </w:t>
      </w:r>
      <w:r w:rsidR="00A1355F" w:rsidRPr="007A3A29">
        <w:rPr>
          <w:noProof/>
        </w:rPr>
        <w:t>City</w:t>
      </w:r>
      <w:r w:rsidRPr="007A3A29">
        <w:rPr>
          <w:noProof/>
        </w:rPr>
        <w:t xml:space="preserve">-wide basis for all </w:t>
      </w:r>
      <w:r w:rsidR="007D0EB3">
        <w:rPr>
          <w:noProof/>
        </w:rPr>
        <w:t xml:space="preserve">other </w:t>
      </w:r>
      <w:r w:rsidRPr="007A3A29">
        <w:rPr>
          <w:noProof/>
        </w:rPr>
        <w:t>services.  The corresponding single detached unit charge is $</w:t>
      </w:r>
      <w:r w:rsidR="0001780B">
        <w:rPr>
          <w:noProof/>
        </w:rPr>
        <w:t>38,</w:t>
      </w:r>
      <w:r w:rsidR="00135758">
        <w:rPr>
          <w:noProof/>
        </w:rPr>
        <w:t>872</w:t>
      </w:r>
      <w:r w:rsidRPr="007A3A29">
        <w:rPr>
          <w:noProof/>
        </w:rPr>
        <w:t>.  The non-residential charge is $</w:t>
      </w:r>
      <w:r w:rsidR="007A3A29" w:rsidRPr="007A3A29">
        <w:rPr>
          <w:noProof/>
        </w:rPr>
        <w:t>8.</w:t>
      </w:r>
      <w:r w:rsidR="00135758">
        <w:rPr>
          <w:noProof/>
        </w:rPr>
        <w:t>64</w:t>
      </w:r>
      <w:r w:rsidR="0001780B" w:rsidRPr="007A3A29">
        <w:rPr>
          <w:noProof/>
        </w:rPr>
        <w:t xml:space="preserve"> </w:t>
      </w:r>
      <w:r w:rsidRPr="007A3A29">
        <w:rPr>
          <w:noProof/>
        </w:rPr>
        <w:t>per sq</w:t>
      </w:r>
      <w:r w:rsidR="00204DF6" w:rsidRPr="007A3A29">
        <w:rPr>
          <w:noProof/>
        </w:rPr>
        <w:t>.ft.</w:t>
      </w:r>
      <w:r w:rsidRPr="007A3A29">
        <w:rPr>
          <w:noProof/>
        </w:rPr>
        <w:t xml:space="preserve"> of building area.  These rates are submitted</w:t>
      </w:r>
      <w:r w:rsidRPr="009E53DB">
        <w:rPr>
          <w:noProof/>
        </w:rPr>
        <w:t xml:space="preserve"> to Council for its consideration. </w:t>
      </w:r>
    </w:p>
    <w:p w14:paraId="7023ED16" w14:textId="748898E0" w:rsidR="00551A91" w:rsidRDefault="00551A91" w:rsidP="00B16524">
      <w:pPr>
        <w:pStyle w:val="BodyText125"/>
        <w:numPr>
          <w:ilvl w:val="0"/>
          <w:numId w:val="5"/>
        </w:numPr>
        <w:rPr>
          <w:noProof/>
        </w:rPr>
      </w:pPr>
      <w:r w:rsidRPr="00211AC7">
        <w:rPr>
          <w:noProof/>
        </w:rPr>
        <w:t>The D.C.A. requires a summary be provided of the gross capital costs and the net costs to be recovered over the life of the by-law.  This calculation is provided by service and is presented in Table 6-</w:t>
      </w:r>
      <w:r w:rsidR="00211AC7" w:rsidRPr="00211AC7">
        <w:rPr>
          <w:noProof/>
        </w:rPr>
        <w:t>4</w:t>
      </w:r>
      <w:r w:rsidRPr="00211AC7">
        <w:rPr>
          <w:noProof/>
        </w:rPr>
        <w:t>.</w:t>
      </w:r>
      <w:r w:rsidRPr="009E53DB">
        <w:rPr>
          <w:noProof/>
        </w:rPr>
        <w:t xml:space="preserve">  A summary of these costs is provided below:</w:t>
      </w:r>
    </w:p>
    <w:p w14:paraId="2D4B5769" w14:textId="44E7F39F" w:rsidR="00551A91" w:rsidRDefault="00766820" w:rsidP="00766820">
      <w:pPr>
        <w:pStyle w:val="FigureTableTitles"/>
        <w:rPr>
          <w:noProof/>
        </w:rPr>
      </w:pPr>
      <w:r>
        <w:rPr>
          <w:noProof/>
        </w:rPr>
        <w:t>Table ES-2</w:t>
      </w:r>
    </w:p>
    <w:p w14:paraId="1179F56E" w14:textId="599A8C56" w:rsidR="00766820" w:rsidRDefault="00766820" w:rsidP="00766820">
      <w:pPr>
        <w:pStyle w:val="FigureTableTitles"/>
        <w:rPr>
          <w:noProof/>
        </w:rPr>
      </w:pPr>
      <w:r>
        <w:rPr>
          <w:noProof/>
        </w:rPr>
        <w:t>Summary of Expenditures Anticipated Over the Life of the By-law</w:t>
      </w:r>
    </w:p>
    <w:tbl>
      <w:tblPr>
        <w:tblStyle w:val="TableGrid"/>
        <w:tblW w:w="0" w:type="auto"/>
        <w:jc w:val="center"/>
        <w:tblLook w:val="04A0" w:firstRow="1" w:lastRow="0" w:firstColumn="1" w:lastColumn="0" w:noHBand="0" w:noVBand="1"/>
      </w:tblPr>
      <w:tblGrid>
        <w:gridCol w:w="7195"/>
        <w:gridCol w:w="2155"/>
      </w:tblGrid>
      <w:tr w:rsidR="00766820" w:rsidRPr="00B2702C" w14:paraId="5F9DEFF3" w14:textId="77777777" w:rsidTr="00766820">
        <w:trPr>
          <w:jc w:val="center"/>
        </w:trPr>
        <w:tc>
          <w:tcPr>
            <w:cnfStyle w:val="001000000000" w:firstRow="0" w:lastRow="0" w:firstColumn="1" w:lastColumn="0" w:oddVBand="0" w:evenVBand="0" w:oddHBand="0" w:evenHBand="0" w:firstRowFirstColumn="0" w:firstRowLastColumn="0" w:lastRowFirstColumn="0" w:lastRowLastColumn="0"/>
            <w:tcW w:w="7195" w:type="dxa"/>
            <w:shd w:val="clear" w:color="auto" w:fill="425364"/>
          </w:tcPr>
          <w:p w14:paraId="4248346A" w14:textId="77777777" w:rsidR="00766820" w:rsidRPr="00B2702C" w:rsidRDefault="00766820" w:rsidP="0084196F">
            <w:pPr>
              <w:pStyle w:val="BodyText125"/>
              <w:spacing w:after="0"/>
              <w:jc w:val="center"/>
              <w:rPr>
                <w:b/>
                <w:bCs/>
                <w:noProof/>
                <w:color w:val="FFFFFF" w:themeColor="background1"/>
              </w:rPr>
            </w:pPr>
            <w:r w:rsidRPr="00B2702C">
              <w:rPr>
                <w:b/>
                <w:bCs/>
                <w:noProof/>
                <w:color w:val="FFFFFF" w:themeColor="background1"/>
              </w:rPr>
              <w:t xml:space="preserve">Summary of Expenditures Anticipated </w:t>
            </w:r>
            <w:r w:rsidRPr="00B2702C">
              <w:rPr>
                <w:b/>
                <w:bCs/>
                <w:noProof/>
                <w:color w:val="FFFFFF" w:themeColor="background1"/>
              </w:rPr>
              <w:br/>
              <w:t>Over the Life of the  By-law</w:t>
            </w:r>
          </w:p>
        </w:tc>
        <w:tc>
          <w:tcPr>
            <w:tcW w:w="2155" w:type="dxa"/>
            <w:shd w:val="clear" w:color="auto" w:fill="425364"/>
          </w:tcPr>
          <w:p w14:paraId="670FAE48" w14:textId="77777777" w:rsidR="00766820" w:rsidRPr="00B2702C" w:rsidRDefault="00766820" w:rsidP="0084196F">
            <w:pPr>
              <w:pStyle w:val="BodyText125"/>
              <w:spacing w:after="0"/>
              <w:jc w:val="center"/>
              <w:cnfStyle w:val="000000000000" w:firstRow="0" w:lastRow="0" w:firstColumn="0" w:lastColumn="0" w:oddVBand="0" w:evenVBand="0" w:oddHBand="0" w:evenHBand="0" w:firstRowFirstColumn="0" w:firstRowLastColumn="0" w:lastRowFirstColumn="0" w:lastRowLastColumn="0"/>
              <w:rPr>
                <w:b/>
                <w:bCs/>
                <w:noProof/>
                <w:color w:val="FFFFFF" w:themeColor="background1"/>
              </w:rPr>
            </w:pPr>
            <w:r w:rsidRPr="00B2702C">
              <w:rPr>
                <w:b/>
                <w:bCs/>
                <w:noProof/>
                <w:color w:val="FFFFFF" w:themeColor="background1"/>
              </w:rPr>
              <w:t>Expenditure Amount</w:t>
            </w:r>
          </w:p>
        </w:tc>
      </w:tr>
      <w:tr w:rsidR="00766820" w:rsidRPr="00B2702C" w14:paraId="6E1680FD" w14:textId="77777777" w:rsidTr="00766820">
        <w:trPr>
          <w:jc w:val="center"/>
        </w:trPr>
        <w:tc>
          <w:tcPr>
            <w:cnfStyle w:val="001000000000" w:firstRow="0" w:lastRow="0" w:firstColumn="1" w:lastColumn="0" w:oddVBand="0" w:evenVBand="0" w:oddHBand="0" w:evenHBand="0" w:firstRowFirstColumn="0" w:firstRowLastColumn="0" w:lastRowFirstColumn="0" w:lastRowLastColumn="0"/>
            <w:tcW w:w="7195" w:type="dxa"/>
            <w:shd w:val="clear" w:color="auto" w:fill="auto"/>
          </w:tcPr>
          <w:p w14:paraId="490B176A" w14:textId="05DE46CB" w:rsidR="00766820" w:rsidRPr="00B2702C" w:rsidRDefault="00766820" w:rsidP="0084196F">
            <w:pPr>
              <w:pStyle w:val="BodyText125"/>
              <w:spacing w:after="0"/>
              <w:rPr>
                <w:noProof/>
              </w:rPr>
            </w:pPr>
            <w:r w:rsidRPr="00B2702C">
              <w:rPr>
                <w:noProof/>
              </w:rPr>
              <w:t xml:space="preserve">Total gross expenditures planned over the next </w:t>
            </w:r>
            <w:r w:rsidR="00DF2558">
              <w:rPr>
                <w:noProof/>
              </w:rPr>
              <w:t>t</w:t>
            </w:r>
            <w:r w:rsidRPr="00B2702C">
              <w:rPr>
                <w:noProof/>
              </w:rPr>
              <w:t>e</w:t>
            </w:r>
            <w:r w:rsidR="00DF2558">
              <w:rPr>
                <w:noProof/>
              </w:rPr>
              <w:t>n</w:t>
            </w:r>
            <w:r w:rsidRPr="00B2702C">
              <w:rPr>
                <w:noProof/>
              </w:rPr>
              <w:t xml:space="preserve"> years</w:t>
            </w:r>
          </w:p>
        </w:tc>
        <w:tc>
          <w:tcPr>
            <w:tcW w:w="2155" w:type="dxa"/>
            <w:shd w:val="clear" w:color="auto" w:fill="auto"/>
          </w:tcPr>
          <w:p w14:paraId="498E2B0D" w14:textId="308D6A79" w:rsidR="00766820" w:rsidRPr="00B2702C" w:rsidRDefault="00211AC7" w:rsidP="0084196F">
            <w:pPr>
              <w:pStyle w:val="BodyText125"/>
              <w:spacing w:after="0"/>
              <w:jc w:val="right"/>
              <w:cnfStyle w:val="000000000000" w:firstRow="0" w:lastRow="0" w:firstColumn="0" w:lastColumn="0" w:oddVBand="0" w:evenVBand="0" w:oddHBand="0" w:evenHBand="0" w:firstRowFirstColumn="0" w:firstRowLastColumn="0" w:lastRowFirstColumn="0" w:lastRowLastColumn="0"/>
              <w:rPr>
                <w:noProof/>
              </w:rPr>
            </w:pPr>
            <w:r>
              <w:rPr>
                <w:noProof/>
              </w:rPr>
              <w:t>$</w:t>
            </w:r>
            <w:r w:rsidR="00135758">
              <w:rPr>
                <w:noProof/>
              </w:rPr>
              <w:t>440</w:t>
            </w:r>
            <w:r>
              <w:rPr>
                <w:noProof/>
              </w:rPr>
              <w:t>,</w:t>
            </w:r>
            <w:r w:rsidR="00135758">
              <w:rPr>
                <w:noProof/>
              </w:rPr>
              <w:t>399</w:t>
            </w:r>
            <w:r>
              <w:rPr>
                <w:noProof/>
              </w:rPr>
              <w:t>,784</w:t>
            </w:r>
          </w:p>
        </w:tc>
      </w:tr>
      <w:tr w:rsidR="00766820" w:rsidRPr="00B2702C" w14:paraId="17976F7B" w14:textId="77777777" w:rsidTr="00766820">
        <w:trPr>
          <w:jc w:val="center"/>
        </w:trPr>
        <w:tc>
          <w:tcPr>
            <w:cnfStyle w:val="001000000000" w:firstRow="0" w:lastRow="0" w:firstColumn="1" w:lastColumn="0" w:oddVBand="0" w:evenVBand="0" w:oddHBand="0" w:evenHBand="0" w:firstRowFirstColumn="0" w:firstRowLastColumn="0" w:lastRowFirstColumn="0" w:lastRowLastColumn="0"/>
            <w:tcW w:w="7195" w:type="dxa"/>
            <w:shd w:val="clear" w:color="auto" w:fill="auto"/>
          </w:tcPr>
          <w:p w14:paraId="705F5FFF" w14:textId="77777777" w:rsidR="00766820" w:rsidRPr="00B2702C" w:rsidRDefault="00766820" w:rsidP="0084196F">
            <w:pPr>
              <w:pStyle w:val="BodyText125"/>
              <w:spacing w:after="0"/>
              <w:rPr>
                <w:noProof/>
              </w:rPr>
            </w:pPr>
            <w:r w:rsidRPr="00B2702C">
              <w:rPr>
                <w:noProof/>
              </w:rPr>
              <w:t>Less: Benefit to existing development</w:t>
            </w:r>
          </w:p>
        </w:tc>
        <w:tc>
          <w:tcPr>
            <w:tcW w:w="2155" w:type="dxa"/>
            <w:shd w:val="clear" w:color="auto" w:fill="auto"/>
          </w:tcPr>
          <w:p w14:paraId="15F29DAB" w14:textId="1DE7B42A" w:rsidR="00766820" w:rsidRPr="00B2702C" w:rsidRDefault="00135758" w:rsidP="0084196F">
            <w:pPr>
              <w:pStyle w:val="BodyText125"/>
              <w:spacing w:after="0"/>
              <w:jc w:val="right"/>
              <w:cnfStyle w:val="000000000000" w:firstRow="0" w:lastRow="0" w:firstColumn="0" w:lastColumn="0" w:oddVBand="0" w:evenVBand="0" w:oddHBand="0" w:evenHBand="0" w:firstRowFirstColumn="0" w:firstRowLastColumn="0" w:lastRowFirstColumn="0" w:lastRowLastColumn="0"/>
              <w:rPr>
                <w:noProof/>
              </w:rPr>
            </w:pPr>
            <w:r>
              <w:rPr>
                <w:noProof/>
              </w:rPr>
              <w:t>69</w:t>
            </w:r>
            <w:r w:rsidR="00211AC7">
              <w:rPr>
                <w:noProof/>
              </w:rPr>
              <w:t>,</w:t>
            </w:r>
            <w:r>
              <w:rPr>
                <w:noProof/>
              </w:rPr>
              <w:t>7</w:t>
            </w:r>
            <w:r w:rsidR="007D0EB3">
              <w:rPr>
                <w:noProof/>
              </w:rPr>
              <w:t>5</w:t>
            </w:r>
            <w:r w:rsidR="00211AC7">
              <w:rPr>
                <w:noProof/>
              </w:rPr>
              <w:t>3,</w:t>
            </w:r>
            <w:r>
              <w:rPr>
                <w:noProof/>
              </w:rPr>
              <w:t>100</w:t>
            </w:r>
          </w:p>
        </w:tc>
      </w:tr>
      <w:tr w:rsidR="00766820" w:rsidRPr="00B2702C" w14:paraId="49B385AF" w14:textId="77777777" w:rsidTr="00766820">
        <w:trPr>
          <w:jc w:val="center"/>
        </w:trPr>
        <w:tc>
          <w:tcPr>
            <w:cnfStyle w:val="001000000000" w:firstRow="0" w:lastRow="0" w:firstColumn="1" w:lastColumn="0" w:oddVBand="0" w:evenVBand="0" w:oddHBand="0" w:evenHBand="0" w:firstRowFirstColumn="0" w:firstRowLastColumn="0" w:lastRowFirstColumn="0" w:lastRowLastColumn="0"/>
            <w:tcW w:w="7195" w:type="dxa"/>
            <w:shd w:val="clear" w:color="auto" w:fill="auto"/>
          </w:tcPr>
          <w:p w14:paraId="279C8AAA" w14:textId="77777777" w:rsidR="00766820" w:rsidRPr="00B2702C" w:rsidRDefault="00766820" w:rsidP="0084196F">
            <w:pPr>
              <w:pStyle w:val="BodyText125"/>
              <w:spacing w:after="0"/>
              <w:rPr>
                <w:noProof/>
              </w:rPr>
            </w:pPr>
            <w:r w:rsidRPr="00B2702C">
              <w:rPr>
                <w:noProof/>
              </w:rPr>
              <w:t>Less: Post planning period benefit</w:t>
            </w:r>
          </w:p>
        </w:tc>
        <w:tc>
          <w:tcPr>
            <w:tcW w:w="2155" w:type="dxa"/>
            <w:shd w:val="clear" w:color="auto" w:fill="auto"/>
          </w:tcPr>
          <w:p w14:paraId="3B807273" w14:textId="5CF76248" w:rsidR="00766820" w:rsidRPr="00B2702C" w:rsidRDefault="00135758" w:rsidP="0084196F">
            <w:pPr>
              <w:pStyle w:val="BodyText125"/>
              <w:spacing w:after="0"/>
              <w:jc w:val="right"/>
              <w:cnfStyle w:val="000000000000" w:firstRow="0" w:lastRow="0" w:firstColumn="0" w:lastColumn="0" w:oddVBand="0" w:evenVBand="0" w:oddHBand="0" w:evenHBand="0" w:firstRowFirstColumn="0" w:firstRowLastColumn="0" w:lastRowFirstColumn="0" w:lastRowLastColumn="0"/>
              <w:rPr>
                <w:noProof/>
              </w:rPr>
            </w:pPr>
            <w:r>
              <w:rPr>
                <w:noProof/>
              </w:rPr>
              <w:t>46,820,400</w:t>
            </w:r>
          </w:p>
        </w:tc>
      </w:tr>
      <w:tr w:rsidR="00766820" w:rsidRPr="00B2702C" w14:paraId="24C18A1D" w14:textId="77777777" w:rsidTr="00766820">
        <w:trPr>
          <w:jc w:val="center"/>
        </w:trPr>
        <w:tc>
          <w:tcPr>
            <w:cnfStyle w:val="001000000000" w:firstRow="0" w:lastRow="0" w:firstColumn="1" w:lastColumn="0" w:oddVBand="0" w:evenVBand="0" w:oddHBand="0" w:evenHBand="0" w:firstRowFirstColumn="0" w:firstRowLastColumn="0" w:lastRowFirstColumn="0" w:lastRowLastColumn="0"/>
            <w:tcW w:w="7195" w:type="dxa"/>
            <w:shd w:val="clear" w:color="auto" w:fill="auto"/>
          </w:tcPr>
          <w:p w14:paraId="071C7799" w14:textId="77777777" w:rsidR="00766820" w:rsidRPr="00B2702C" w:rsidRDefault="00766820" w:rsidP="0084196F">
            <w:pPr>
              <w:pStyle w:val="BodyText125"/>
              <w:spacing w:after="0"/>
              <w:rPr>
                <w:noProof/>
              </w:rPr>
            </w:pPr>
            <w:r w:rsidRPr="00B2702C">
              <w:rPr>
                <w:noProof/>
              </w:rPr>
              <w:t>Less: Ineligible re: Level of Service</w:t>
            </w:r>
          </w:p>
        </w:tc>
        <w:tc>
          <w:tcPr>
            <w:tcW w:w="2155" w:type="dxa"/>
            <w:shd w:val="clear" w:color="auto" w:fill="auto"/>
          </w:tcPr>
          <w:p w14:paraId="6A24E712" w14:textId="179AB40E" w:rsidR="00766820" w:rsidRPr="00B2702C" w:rsidRDefault="00211AC7" w:rsidP="0084196F">
            <w:pPr>
              <w:pStyle w:val="BodyText125"/>
              <w:spacing w:after="0"/>
              <w:jc w:val="right"/>
              <w:cnfStyle w:val="000000000000" w:firstRow="0" w:lastRow="0" w:firstColumn="0" w:lastColumn="0" w:oddVBand="0" w:evenVBand="0" w:oddHBand="0" w:evenHBand="0" w:firstRowFirstColumn="0" w:firstRowLastColumn="0" w:lastRowFirstColumn="0" w:lastRowLastColumn="0"/>
              <w:rPr>
                <w:noProof/>
              </w:rPr>
            </w:pPr>
            <w:r>
              <w:rPr>
                <w:noProof/>
              </w:rPr>
              <w:t>0</w:t>
            </w:r>
          </w:p>
        </w:tc>
      </w:tr>
      <w:tr w:rsidR="00766820" w:rsidRPr="00B2702C" w14:paraId="5CB1AB2F" w14:textId="77777777" w:rsidTr="00766820">
        <w:trPr>
          <w:jc w:val="center"/>
        </w:trPr>
        <w:tc>
          <w:tcPr>
            <w:cnfStyle w:val="001000000000" w:firstRow="0" w:lastRow="0" w:firstColumn="1" w:lastColumn="0" w:oddVBand="0" w:evenVBand="0" w:oddHBand="0" w:evenHBand="0" w:firstRowFirstColumn="0" w:firstRowLastColumn="0" w:lastRowFirstColumn="0" w:lastRowLastColumn="0"/>
            <w:tcW w:w="7195" w:type="dxa"/>
            <w:shd w:val="clear" w:color="auto" w:fill="auto"/>
          </w:tcPr>
          <w:p w14:paraId="2FDC3594" w14:textId="77777777" w:rsidR="00766820" w:rsidRPr="00B2702C" w:rsidRDefault="00766820" w:rsidP="0084196F">
            <w:pPr>
              <w:pStyle w:val="BodyText125"/>
              <w:spacing w:after="0"/>
              <w:rPr>
                <w:noProof/>
              </w:rPr>
            </w:pPr>
            <w:r w:rsidRPr="00B2702C">
              <w:rPr>
                <w:noProof/>
              </w:rPr>
              <w:t>Less: Grants, subsidies and other contributions</w:t>
            </w:r>
          </w:p>
        </w:tc>
        <w:tc>
          <w:tcPr>
            <w:tcW w:w="2155" w:type="dxa"/>
            <w:shd w:val="clear" w:color="auto" w:fill="auto"/>
          </w:tcPr>
          <w:p w14:paraId="2E004DB4" w14:textId="38936324" w:rsidR="00766820" w:rsidRPr="00B2702C" w:rsidRDefault="00135758" w:rsidP="0084196F">
            <w:pPr>
              <w:pStyle w:val="BodyText125"/>
              <w:spacing w:after="0"/>
              <w:jc w:val="right"/>
              <w:cnfStyle w:val="000000000000" w:firstRow="0" w:lastRow="0" w:firstColumn="0" w:lastColumn="0" w:oddVBand="0" w:evenVBand="0" w:oddHBand="0" w:evenHBand="0" w:firstRowFirstColumn="0" w:firstRowLastColumn="0" w:lastRowFirstColumn="0" w:lastRowLastColumn="0"/>
              <w:rPr>
                <w:noProof/>
              </w:rPr>
            </w:pPr>
            <w:r>
              <w:rPr>
                <w:noProof/>
              </w:rPr>
              <w:t>16</w:t>
            </w:r>
            <w:r w:rsidR="00211AC7">
              <w:rPr>
                <w:noProof/>
              </w:rPr>
              <w:t>,</w:t>
            </w:r>
            <w:r>
              <w:rPr>
                <w:noProof/>
              </w:rPr>
              <w:t>081</w:t>
            </w:r>
            <w:r w:rsidR="00211AC7">
              <w:rPr>
                <w:noProof/>
              </w:rPr>
              <w:t>,625</w:t>
            </w:r>
          </w:p>
        </w:tc>
      </w:tr>
      <w:tr w:rsidR="00766820" w:rsidRPr="004A46C4" w14:paraId="775F2754" w14:textId="77777777" w:rsidTr="00766820">
        <w:trPr>
          <w:jc w:val="center"/>
        </w:trPr>
        <w:tc>
          <w:tcPr>
            <w:cnfStyle w:val="001000000000" w:firstRow="0" w:lastRow="0" w:firstColumn="1" w:lastColumn="0" w:oddVBand="0" w:evenVBand="0" w:oddHBand="0" w:evenHBand="0" w:firstRowFirstColumn="0" w:firstRowLastColumn="0" w:lastRowFirstColumn="0" w:lastRowLastColumn="0"/>
            <w:tcW w:w="7195" w:type="dxa"/>
            <w:shd w:val="clear" w:color="auto" w:fill="ACBAC8" w:themeFill="text1" w:themeFillTint="66"/>
          </w:tcPr>
          <w:p w14:paraId="27011E24" w14:textId="77777777" w:rsidR="00766820" w:rsidRPr="00B2702C" w:rsidRDefault="00766820" w:rsidP="0084196F">
            <w:pPr>
              <w:pStyle w:val="BodyText125"/>
              <w:spacing w:after="0"/>
              <w:rPr>
                <w:b/>
                <w:bCs/>
                <w:noProof/>
              </w:rPr>
            </w:pPr>
            <w:r w:rsidRPr="00B2702C">
              <w:rPr>
                <w:b/>
                <w:bCs/>
                <w:noProof/>
              </w:rPr>
              <w:t>Net costs to be recovered from development charges</w:t>
            </w:r>
          </w:p>
        </w:tc>
        <w:tc>
          <w:tcPr>
            <w:tcW w:w="2155" w:type="dxa"/>
            <w:shd w:val="clear" w:color="auto" w:fill="ACBAC8" w:themeFill="text1" w:themeFillTint="66"/>
          </w:tcPr>
          <w:p w14:paraId="70EE0C6A" w14:textId="7963EBAD" w:rsidR="00766820" w:rsidRPr="00A35694" w:rsidRDefault="00211AC7" w:rsidP="0084196F">
            <w:pPr>
              <w:pStyle w:val="BodyText125"/>
              <w:spacing w:after="0"/>
              <w:jc w:val="right"/>
              <w:cnfStyle w:val="000000000000" w:firstRow="0" w:lastRow="0" w:firstColumn="0" w:lastColumn="0" w:oddVBand="0" w:evenVBand="0" w:oddHBand="0" w:evenHBand="0" w:firstRowFirstColumn="0" w:firstRowLastColumn="0" w:lastRowFirstColumn="0" w:lastRowLastColumn="0"/>
              <w:rPr>
                <w:b/>
                <w:bCs/>
                <w:noProof/>
              </w:rPr>
            </w:pPr>
            <w:r>
              <w:rPr>
                <w:b/>
                <w:bCs/>
                <w:noProof/>
              </w:rPr>
              <w:t>$</w:t>
            </w:r>
            <w:r w:rsidR="00135758">
              <w:rPr>
                <w:b/>
                <w:bCs/>
                <w:noProof/>
              </w:rPr>
              <w:t>307</w:t>
            </w:r>
            <w:r>
              <w:rPr>
                <w:b/>
                <w:bCs/>
                <w:noProof/>
              </w:rPr>
              <w:t>,</w:t>
            </w:r>
            <w:r w:rsidR="00135758">
              <w:rPr>
                <w:b/>
                <w:bCs/>
                <w:noProof/>
              </w:rPr>
              <w:t>744</w:t>
            </w:r>
            <w:r>
              <w:rPr>
                <w:b/>
                <w:bCs/>
                <w:noProof/>
              </w:rPr>
              <w:t>,</w:t>
            </w:r>
            <w:r w:rsidR="00135758">
              <w:rPr>
                <w:b/>
                <w:bCs/>
                <w:noProof/>
              </w:rPr>
              <w:t>659</w:t>
            </w:r>
          </w:p>
        </w:tc>
      </w:tr>
    </w:tbl>
    <w:p w14:paraId="3E6518B5" w14:textId="1B87ACE7" w:rsidR="00551A91" w:rsidRPr="00211AC7" w:rsidRDefault="00AE020C" w:rsidP="00211AC7">
      <w:pPr>
        <w:pStyle w:val="BodyText125"/>
        <w:spacing w:before="240"/>
        <w:ind w:left="720"/>
        <w:rPr>
          <w:noProof/>
        </w:rPr>
      </w:pPr>
      <w:r>
        <w:rPr>
          <w:noProof/>
        </w:rPr>
        <w:t xml:space="preserve">This suggests that for the non-D.C. cost over the </w:t>
      </w:r>
      <w:r w:rsidR="00211AC7">
        <w:rPr>
          <w:noProof/>
        </w:rPr>
        <w:t>10</w:t>
      </w:r>
      <w:r>
        <w:rPr>
          <w:noProof/>
        </w:rPr>
        <w:t xml:space="preserve">-year D.C. by-law (benefit to existing development, and grants, subsidies and </w:t>
      </w:r>
      <w:r w:rsidRPr="00211AC7">
        <w:rPr>
          <w:noProof/>
        </w:rPr>
        <w:t xml:space="preserve">other contributions), </w:t>
      </w:r>
      <w:r w:rsidR="00551A91" w:rsidRPr="00211AC7">
        <w:rPr>
          <w:noProof/>
        </w:rPr>
        <w:t>$</w:t>
      </w:r>
      <w:r w:rsidR="00135758" w:rsidRPr="00211AC7">
        <w:rPr>
          <w:noProof/>
        </w:rPr>
        <w:t>8</w:t>
      </w:r>
      <w:r w:rsidR="00135758">
        <w:rPr>
          <w:noProof/>
        </w:rPr>
        <w:t>5</w:t>
      </w:r>
      <w:r w:rsidR="00211AC7" w:rsidRPr="00211AC7">
        <w:rPr>
          <w:noProof/>
        </w:rPr>
        <w:t>.</w:t>
      </w:r>
      <w:r w:rsidR="00135758">
        <w:rPr>
          <w:noProof/>
        </w:rPr>
        <w:t>8</w:t>
      </w:r>
      <w:r w:rsidR="007D0EB3">
        <w:rPr>
          <w:noProof/>
        </w:rPr>
        <w:t>3</w:t>
      </w:r>
      <w:r w:rsidR="00551A91" w:rsidRPr="00211AC7">
        <w:rPr>
          <w:noProof/>
        </w:rPr>
        <w:t xml:space="preserve"> million (or an annual amount of $</w:t>
      </w:r>
      <w:r w:rsidR="00211AC7" w:rsidRPr="00211AC7">
        <w:rPr>
          <w:noProof/>
        </w:rPr>
        <w:t>8.</w:t>
      </w:r>
      <w:r w:rsidR="00135758">
        <w:rPr>
          <w:noProof/>
        </w:rPr>
        <w:t>58</w:t>
      </w:r>
      <w:r w:rsidR="00135758" w:rsidRPr="00211AC7">
        <w:rPr>
          <w:noProof/>
        </w:rPr>
        <w:t xml:space="preserve"> </w:t>
      </w:r>
      <w:r w:rsidR="00551A91" w:rsidRPr="00211AC7">
        <w:rPr>
          <w:noProof/>
        </w:rPr>
        <w:t xml:space="preserve">million) will need to be contributed from taxes and rates, or other sources.  </w:t>
      </w:r>
      <w:r w:rsidRPr="00211AC7">
        <w:rPr>
          <w:noProof/>
        </w:rPr>
        <w:t xml:space="preserve">With respect to the post period benefit amount </w:t>
      </w:r>
      <w:r w:rsidRPr="00211AC7">
        <w:rPr>
          <w:noProof/>
        </w:rPr>
        <w:lastRenderedPageBreak/>
        <w:t xml:space="preserve">of </w:t>
      </w:r>
      <w:r w:rsidR="00551A91" w:rsidRPr="00211AC7">
        <w:rPr>
          <w:noProof/>
        </w:rPr>
        <w:t>$</w:t>
      </w:r>
      <w:r w:rsidR="00135758">
        <w:rPr>
          <w:noProof/>
        </w:rPr>
        <w:t>46</w:t>
      </w:r>
      <w:r w:rsidR="00211AC7" w:rsidRPr="00211AC7">
        <w:rPr>
          <w:noProof/>
        </w:rPr>
        <w:t>.</w:t>
      </w:r>
      <w:r w:rsidR="00135758">
        <w:rPr>
          <w:noProof/>
        </w:rPr>
        <w:t>82</w:t>
      </w:r>
      <w:r w:rsidR="00135758" w:rsidRPr="00211AC7">
        <w:rPr>
          <w:noProof/>
        </w:rPr>
        <w:t xml:space="preserve"> </w:t>
      </w:r>
      <w:r w:rsidR="00551A91" w:rsidRPr="00211AC7">
        <w:rPr>
          <w:noProof/>
        </w:rPr>
        <w:t>million</w:t>
      </w:r>
      <w:r w:rsidRPr="00211AC7">
        <w:rPr>
          <w:noProof/>
        </w:rPr>
        <w:t>, it will be included in subsequent D.C. study updates to reflect the portion of capital that benefits growth in the post period D.C. forecasts.</w:t>
      </w:r>
    </w:p>
    <w:p w14:paraId="4771AF1F" w14:textId="4B7ECB80" w:rsidR="00551A91" w:rsidRPr="009E53DB" w:rsidRDefault="00551A91" w:rsidP="00551A91">
      <w:pPr>
        <w:pStyle w:val="BodyText125"/>
        <w:ind w:left="720"/>
        <w:rPr>
          <w:noProof/>
        </w:rPr>
      </w:pPr>
      <w:r w:rsidRPr="00211AC7">
        <w:rPr>
          <w:noProof/>
        </w:rPr>
        <w:t xml:space="preserve">Based on the above table, the </w:t>
      </w:r>
      <w:r w:rsidR="00A1355F" w:rsidRPr="00211AC7">
        <w:rPr>
          <w:noProof/>
        </w:rPr>
        <w:t>City</w:t>
      </w:r>
      <w:r w:rsidRPr="00211AC7">
        <w:rPr>
          <w:noProof/>
        </w:rPr>
        <w:t xml:space="preserve"> plans to spend $</w:t>
      </w:r>
      <w:r w:rsidR="00135758" w:rsidRPr="00211AC7">
        <w:rPr>
          <w:noProof/>
        </w:rPr>
        <w:t>4</w:t>
      </w:r>
      <w:r w:rsidR="00135758">
        <w:rPr>
          <w:noProof/>
        </w:rPr>
        <w:t>40</w:t>
      </w:r>
      <w:r w:rsidR="00211AC7" w:rsidRPr="00211AC7">
        <w:rPr>
          <w:noProof/>
        </w:rPr>
        <w:t>.</w:t>
      </w:r>
      <w:r w:rsidR="00135758">
        <w:rPr>
          <w:noProof/>
        </w:rPr>
        <w:t>40</w:t>
      </w:r>
      <w:r w:rsidR="00135758" w:rsidRPr="00211AC7">
        <w:rPr>
          <w:noProof/>
        </w:rPr>
        <w:t xml:space="preserve"> </w:t>
      </w:r>
      <w:r w:rsidR="00080B15" w:rsidRPr="00211AC7">
        <w:rPr>
          <w:noProof/>
        </w:rPr>
        <w:t>m</w:t>
      </w:r>
      <w:r w:rsidRPr="00211AC7">
        <w:rPr>
          <w:noProof/>
        </w:rPr>
        <w:t xml:space="preserve">illion over the next </w:t>
      </w:r>
      <w:r w:rsidR="00211AC7" w:rsidRPr="00211AC7">
        <w:rPr>
          <w:noProof/>
        </w:rPr>
        <w:t>10</w:t>
      </w:r>
      <w:r w:rsidRPr="00211AC7">
        <w:rPr>
          <w:noProof/>
        </w:rPr>
        <w:t xml:space="preserve"> years, of which $</w:t>
      </w:r>
      <w:r w:rsidR="00135758" w:rsidRPr="00211AC7">
        <w:rPr>
          <w:noProof/>
        </w:rPr>
        <w:t>3</w:t>
      </w:r>
      <w:r w:rsidR="00135758">
        <w:rPr>
          <w:noProof/>
        </w:rPr>
        <w:t>07</w:t>
      </w:r>
      <w:r w:rsidR="00211AC7" w:rsidRPr="00211AC7">
        <w:rPr>
          <w:noProof/>
        </w:rPr>
        <w:t>.</w:t>
      </w:r>
      <w:r w:rsidR="00135758">
        <w:rPr>
          <w:noProof/>
        </w:rPr>
        <w:t>7</w:t>
      </w:r>
      <w:r w:rsidR="007D0EB3">
        <w:rPr>
          <w:noProof/>
        </w:rPr>
        <w:t>4</w:t>
      </w:r>
      <w:r w:rsidRPr="00211AC7">
        <w:rPr>
          <w:noProof/>
        </w:rPr>
        <w:t xml:space="preserve"> million (</w:t>
      </w:r>
      <w:r w:rsidR="00135758" w:rsidRPr="00211AC7">
        <w:rPr>
          <w:noProof/>
        </w:rPr>
        <w:t>7</w:t>
      </w:r>
      <w:r w:rsidR="00135758">
        <w:rPr>
          <w:noProof/>
        </w:rPr>
        <w:t>0</w:t>
      </w:r>
      <w:r w:rsidRPr="00211AC7">
        <w:rPr>
          <w:noProof/>
        </w:rPr>
        <w:t>%) is recoverable from D.C.s.  Of this net amount, $</w:t>
      </w:r>
      <w:r w:rsidR="00135758" w:rsidRPr="00211AC7">
        <w:rPr>
          <w:noProof/>
        </w:rPr>
        <w:t>2</w:t>
      </w:r>
      <w:r w:rsidR="00135758">
        <w:rPr>
          <w:noProof/>
        </w:rPr>
        <w:t>44</w:t>
      </w:r>
      <w:r w:rsidR="00211AC7" w:rsidRPr="00211AC7">
        <w:rPr>
          <w:noProof/>
        </w:rPr>
        <w:t>.</w:t>
      </w:r>
      <w:r w:rsidR="00135758">
        <w:rPr>
          <w:noProof/>
        </w:rPr>
        <w:t>87</w:t>
      </w:r>
      <w:r w:rsidR="00135758" w:rsidRPr="00211AC7">
        <w:rPr>
          <w:noProof/>
        </w:rPr>
        <w:t xml:space="preserve"> </w:t>
      </w:r>
      <w:r w:rsidRPr="00211AC7">
        <w:rPr>
          <w:noProof/>
        </w:rPr>
        <w:t>million is recoverable from residential development and $</w:t>
      </w:r>
      <w:r w:rsidR="00135758" w:rsidRPr="00211AC7">
        <w:rPr>
          <w:noProof/>
        </w:rPr>
        <w:t>6</w:t>
      </w:r>
      <w:r w:rsidR="00135758">
        <w:rPr>
          <w:noProof/>
        </w:rPr>
        <w:t>2</w:t>
      </w:r>
      <w:r w:rsidR="00211AC7" w:rsidRPr="00211AC7">
        <w:rPr>
          <w:noProof/>
        </w:rPr>
        <w:t>.</w:t>
      </w:r>
      <w:r w:rsidR="00135758">
        <w:rPr>
          <w:noProof/>
        </w:rPr>
        <w:t>88</w:t>
      </w:r>
      <w:r w:rsidR="00135758" w:rsidRPr="00211AC7">
        <w:rPr>
          <w:noProof/>
        </w:rPr>
        <w:t xml:space="preserve"> </w:t>
      </w:r>
      <w:r w:rsidRPr="00211AC7">
        <w:rPr>
          <w:noProof/>
        </w:rPr>
        <w:t>million from non-residential development.  It is noted also that any exemptions or reductions in the charges would reduce this recovery further.</w:t>
      </w:r>
    </w:p>
    <w:p w14:paraId="6F580A28" w14:textId="77777777" w:rsidR="00551A91" w:rsidRPr="009E53DB" w:rsidRDefault="00551A91" w:rsidP="00B16524">
      <w:pPr>
        <w:pStyle w:val="BodyText125"/>
        <w:numPr>
          <w:ilvl w:val="0"/>
          <w:numId w:val="5"/>
        </w:numPr>
        <w:rPr>
          <w:noProof/>
        </w:rPr>
      </w:pPr>
      <w:r w:rsidRPr="009E53DB">
        <w:rPr>
          <w:noProof/>
        </w:rPr>
        <w:t>Considerations by Council – The background study represents the service needs arising from residential and non-residential growth over the forecast periods.</w:t>
      </w:r>
    </w:p>
    <w:p w14:paraId="1F8A8ED4" w14:textId="382635A6" w:rsidR="00551A91" w:rsidRPr="009E53DB" w:rsidRDefault="00551A91" w:rsidP="00551A91">
      <w:pPr>
        <w:pStyle w:val="BodyText125"/>
        <w:ind w:left="720"/>
        <w:rPr>
          <w:noProof/>
        </w:rPr>
      </w:pPr>
      <w:r w:rsidRPr="00211AC7">
        <w:rPr>
          <w:noProof/>
        </w:rPr>
        <w:t xml:space="preserve">The following services are calculated based on </w:t>
      </w:r>
      <w:r w:rsidR="00211AC7" w:rsidRPr="00211AC7">
        <w:rPr>
          <w:noProof/>
        </w:rPr>
        <w:t>a</w:t>
      </w:r>
      <w:r w:rsidR="007D0EB3">
        <w:rPr>
          <w:noProof/>
        </w:rPr>
        <w:t>n urban area</w:t>
      </w:r>
      <w:r w:rsidR="00211AC7" w:rsidRPr="00211AC7">
        <w:rPr>
          <w:noProof/>
        </w:rPr>
        <w:t xml:space="preserve"> 10-year forecast</w:t>
      </w:r>
      <w:r w:rsidRPr="00211AC7">
        <w:rPr>
          <w:noProof/>
        </w:rPr>
        <w:t>:</w:t>
      </w:r>
    </w:p>
    <w:p w14:paraId="21961CE1" w14:textId="173AE352" w:rsidR="00551A91" w:rsidRPr="009E53DB" w:rsidRDefault="00551A91" w:rsidP="00551A91">
      <w:pPr>
        <w:pStyle w:val="BodyTextbullets125"/>
        <w:ind w:left="1440"/>
        <w:rPr>
          <w:noProof/>
        </w:rPr>
      </w:pPr>
      <w:r>
        <w:rPr>
          <w:noProof/>
        </w:rPr>
        <w:t>S</w:t>
      </w:r>
      <w:r w:rsidRPr="009E53DB">
        <w:rPr>
          <w:noProof/>
        </w:rPr>
        <w:t>tormwater Services;</w:t>
      </w:r>
    </w:p>
    <w:p w14:paraId="782A5ECF" w14:textId="36795260" w:rsidR="00551A91" w:rsidRPr="009E53DB" w:rsidRDefault="00551A91" w:rsidP="00551A91">
      <w:pPr>
        <w:pStyle w:val="BodyTextbullets125"/>
        <w:ind w:left="1440"/>
        <w:rPr>
          <w:noProof/>
        </w:rPr>
      </w:pPr>
      <w:r w:rsidRPr="009E53DB">
        <w:rPr>
          <w:noProof/>
        </w:rPr>
        <w:t>Wastewater Services;</w:t>
      </w:r>
    </w:p>
    <w:p w14:paraId="0C841AFF" w14:textId="02F17578" w:rsidR="00551A91" w:rsidRDefault="00551A91" w:rsidP="00551A91">
      <w:pPr>
        <w:pStyle w:val="BodyTextbullets125"/>
        <w:ind w:left="1440"/>
        <w:rPr>
          <w:noProof/>
        </w:rPr>
      </w:pPr>
      <w:r w:rsidRPr="009E53DB">
        <w:rPr>
          <w:noProof/>
        </w:rPr>
        <w:t>Water Services</w:t>
      </w:r>
      <w:r w:rsidR="00211AC7">
        <w:rPr>
          <w:noProof/>
        </w:rPr>
        <w:t>;</w:t>
      </w:r>
    </w:p>
    <w:p w14:paraId="65B7A0CE" w14:textId="04158C57" w:rsidR="007D0EB3" w:rsidRPr="009E53DB" w:rsidRDefault="007D0EB3" w:rsidP="007D0EB3">
      <w:pPr>
        <w:pStyle w:val="BodyText125"/>
        <w:ind w:left="720"/>
        <w:rPr>
          <w:noProof/>
        </w:rPr>
      </w:pPr>
      <w:r w:rsidRPr="00211AC7">
        <w:rPr>
          <w:noProof/>
        </w:rPr>
        <w:t xml:space="preserve">The following services are calculated based on </w:t>
      </w:r>
      <w:r>
        <w:rPr>
          <w:noProof/>
        </w:rPr>
        <w:t xml:space="preserve">a City-wide </w:t>
      </w:r>
      <w:r w:rsidRPr="00211AC7">
        <w:rPr>
          <w:noProof/>
        </w:rPr>
        <w:t>10-year forecast:</w:t>
      </w:r>
    </w:p>
    <w:p w14:paraId="4C4215B0" w14:textId="5F8CC693" w:rsidR="00551A91" w:rsidRPr="009E53DB" w:rsidRDefault="00551A91" w:rsidP="00551A91">
      <w:pPr>
        <w:pStyle w:val="BodyTextbullets125"/>
        <w:ind w:left="1440"/>
        <w:rPr>
          <w:noProof/>
        </w:rPr>
      </w:pPr>
      <w:r w:rsidRPr="009E53DB">
        <w:rPr>
          <w:noProof/>
        </w:rPr>
        <w:t>Services Related to a Highway</w:t>
      </w:r>
      <w:r w:rsidR="00CC12C0">
        <w:rPr>
          <w:noProof/>
        </w:rPr>
        <w:t>;</w:t>
      </w:r>
    </w:p>
    <w:p w14:paraId="3B1E8ADA" w14:textId="56B3DB71" w:rsidR="00551A91" w:rsidRPr="009E53DB" w:rsidRDefault="00551A91" w:rsidP="00551A91">
      <w:pPr>
        <w:pStyle w:val="BodyTextbullets125"/>
        <w:ind w:left="1440"/>
        <w:rPr>
          <w:noProof/>
        </w:rPr>
      </w:pPr>
      <w:r w:rsidRPr="009E53DB">
        <w:rPr>
          <w:noProof/>
        </w:rPr>
        <w:t>Fire Protection Services</w:t>
      </w:r>
      <w:r w:rsidR="00211AC7">
        <w:rPr>
          <w:noProof/>
        </w:rPr>
        <w:t>;</w:t>
      </w:r>
    </w:p>
    <w:p w14:paraId="5146B8BD" w14:textId="633577A9" w:rsidR="00551A91" w:rsidRPr="009E53DB" w:rsidRDefault="00551A91" w:rsidP="00551A91">
      <w:pPr>
        <w:pStyle w:val="BodyTextbullets125"/>
        <w:ind w:left="1440"/>
        <w:rPr>
          <w:noProof/>
        </w:rPr>
      </w:pPr>
      <w:r w:rsidRPr="009E53DB">
        <w:rPr>
          <w:noProof/>
        </w:rPr>
        <w:t>Park</w:t>
      </w:r>
      <w:r w:rsidR="00080B15">
        <w:rPr>
          <w:noProof/>
        </w:rPr>
        <w:t>s and Recreation Services</w:t>
      </w:r>
      <w:r w:rsidRPr="009E53DB">
        <w:rPr>
          <w:noProof/>
        </w:rPr>
        <w:t>;</w:t>
      </w:r>
      <w:r w:rsidR="00080B15">
        <w:rPr>
          <w:noProof/>
        </w:rPr>
        <w:t xml:space="preserve"> and </w:t>
      </w:r>
    </w:p>
    <w:p w14:paraId="62FE7F8D" w14:textId="4D8B0886" w:rsidR="00551A91" w:rsidRPr="009E53DB" w:rsidRDefault="00551A91" w:rsidP="00551A91">
      <w:pPr>
        <w:pStyle w:val="BodyTextbullets125"/>
        <w:ind w:left="1440"/>
        <w:rPr>
          <w:noProof/>
        </w:rPr>
      </w:pPr>
      <w:r w:rsidRPr="009E53DB">
        <w:rPr>
          <w:noProof/>
        </w:rPr>
        <w:t>Library Services</w:t>
      </w:r>
      <w:r w:rsidR="00080B15">
        <w:rPr>
          <w:noProof/>
        </w:rPr>
        <w:t>.</w:t>
      </w:r>
    </w:p>
    <w:p w14:paraId="665C6892" w14:textId="660DD21D" w:rsidR="00CC12C0" w:rsidRDefault="00CC12C0" w:rsidP="00551A91">
      <w:pPr>
        <w:pStyle w:val="BodyText125"/>
        <w:ind w:left="720"/>
        <w:rPr>
          <w:noProof/>
        </w:rPr>
      </w:pPr>
      <w:r w:rsidRPr="00CC12C0">
        <w:rPr>
          <w:noProof/>
        </w:rPr>
        <w:t>In addition, a class of service has been established for Public Works (which is calculated based on a</w:t>
      </w:r>
      <w:r w:rsidR="007D0EB3">
        <w:rPr>
          <w:noProof/>
        </w:rPr>
        <w:t xml:space="preserve"> City-wide</w:t>
      </w:r>
      <w:r w:rsidRPr="00CC12C0">
        <w:rPr>
          <w:noProof/>
        </w:rPr>
        <w:t xml:space="preserve"> </w:t>
      </w:r>
      <w:r w:rsidR="00211AC7">
        <w:rPr>
          <w:noProof/>
        </w:rPr>
        <w:t>10</w:t>
      </w:r>
      <w:r w:rsidRPr="00CC12C0">
        <w:rPr>
          <w:noProof/>
        </w:rPr>
        <w:t>-year forecast).</w:t>
      </w:r>
    </w:p>
    <w:p w14:paraId="0B80EABF" w14:textId="7C76B565" w:rsidR="00551A91" w:rsidRPr="009E53DB" w:rsidRDefault="00551A91" w:rsidP="00551A91">
      <w:pPr>
        <w:pStyle w:val="BodyText125"/>
        <w:ind w:left="720"/>
        <w:rPr>
          <w:noProof/>
        </w:rPr>
      </w:pPr>
      <w:r w:rsidRPr="009E53DB">
        <w:rPr>
          <w:noProof/>
        </w:rPr>
        <w:t xml:space="preserve">Council will consider the findings and recommendations provided in the report </w:t>
      </w:r>
      <w:r w:rsidRPr="007D0EB3">
        <w:rPr>
          <w:noProof/>
        </w:rPr>
        <w:t>and, in conjunction with public input, approve such policies and rates it deems appropriate.  These directions will refine the draft D.C. by-law</w:t>
      </w:r>
      <w:r w:rsidR="00AF3F46">
        <w:rPr>
          <w:noProof/>
        </w:rPr>
        <w:t>s</w:t>
      </w:r>
      <w:r w:rsidRPr="007D0EB3">
        <w:rPr>
          <w:noProof/>
        </w:rPr>
        <w:t xml:space="preserve"> which </w:t>
      </w:r>
      <w:r w:rsidR="00AF3F46">
        <w:rPr>
          <w:noProof/>
        </w:rPr>
        <w:t>are</w:t>
      </w:r>
      <w:r w:rsidRPr="007D0EB3">
        <w:rPr>
          <w:noProof/>
        </w:rPr>
        <w:t xml:space="preserve"> appended in Appendix </w:t>
      </w:r>
      <w:r w:rsidR="00CC12C0" w:rsidRPr="007D0EB3">
        <w:rPr>
          <w:noProof/>
        </w:rPr>
        <w:t>G</w:t>
      </w:r>
      <w:r w:rsidR="00AF3F46">
        <w:rPr>
          <w:noProof/>
        </w:rPr>
        <w:t xml:space="preserve"> (under separate cover)</w:t>
      </w:r>
      <w:r w:rsidRPr="007D0EB3">
        <w:rPr>
          <w:noProof/>
        </w:rPr>
        <w:t>.  Th</w:t>
      </w:r>
      <w:r w:rsidRPr="009E53DB">
        <w:rPr>
          <w:noProof/>
        </w:rPr>
        <w:t>ese decisions may include:</w:t>
      </w:r>
    </w:p>
    <w:p w14:paraId="6BBA4FB1" w14:textId="77777777" w:rsidR="00551A91" w:rsidRPr="009E53DB" w:rsidRDefault="00551A91" w:rsidP="00551A91">
      <w:pPr>
        <w:pStyle w:val="BodyTextbullets125"/>
        <w:ind w:left="1440"/>
        <w:rPr>
          <w:noProof/>
        </w:rPr>
      </w:pPr>
      <w:r w:rsidRPr="009E53DB">
        <w:rPr>
          <w:noProof/>
        </w:rPr>
        <w:t>adopting the charges and policies recommended herein;</w:t>
      </w:r>
    </w:p>
    <w:p w14:paraId="65901CE1" w14:textId="77777777" w:rsidR="00551A91" w:rsidRPr="009E53DB" w:rsidRDefault="00551A91" w:rsidP="00551A91">
      <w:pPr>
        <w:pStyle w:val="BodyTextbullets125"/>
        <w:ind w:left="1440"/>
        <w:rPr>
          <w:noProof/>
        </w:rPr>
      </w:pPr>
      <w:r w:rsidRPr="009E53DB">
        <w:rPr>
          <w:noProof/>
        </w:rPr>
        <w:t>considering additional exemptions to the by-law; and</w:t>
      </w:r>
    </w:p>
    <w:p w14:paraId="71F104A1" w14:textId="3C66DBBC" w:rsidR="00CC12C0" w:rsidRDefault="00551A91" w:rsidP="00D931C2">
      <w:pPr>
        <w:pStyle w:val="BodyTextbullets125"/>
        <w:ind w:left="1440"/>
        <w:rPr>
          <w:noProof/>
        </w:rPr>
        <w:sectPr w:rsidR="00CC12C0" w:rsidSect="00095E6C">
          <w:headerReference w:type="default" r:id="rId22"/>
          <w:footerReference w:type="default" r:id="rId23"/>
          <w:headerReference w:type="first" r:id="rId24"/>
          <w:footerReference w:type="first" r:id="rId25"/>
          <w:footnotePr>
            <w:numRestart w:val="eachPage"/>
          </w:footnotePr>
          <w:pgSz w:w="12240" w:h="15840" w:code="1"/>
          <w:pgMar w:top="1440" w:right="1440" w:bottom="1440" w:left="1440" w:header="432" w:footer="619" w:gutter="0"/>
          <w:pgNumType w:fmt="lowerRoman" w:start="1"/>
          <w:cols w:space="708"/>
          <w:titlePg/>
          <w:docGrid w:linePitch="360"/>
        </w:sectPr>
      </w:pPr>
      <w:r w:rsidRPr="009E53DB">
        <w:rPr>
          <w:noProof/>
        </w:rPr>
        <w:t>considering reductions in the charge by class of development (obtained by removing certain services on which the charge is based and/or by a general reduction in the charge).</w:t>
      </w:r>
      <w:r>
        <w:rPr>
          <w:noProof/>
        </w:rPr>
        <w:br w:type="page"/>
      </w:r>
    </w:p>
    <w:p w14:paraId="72A4DF8D" w14:textId="464B7B84" w:rsidR="00551A91" w:rsidRDefault="00551A91" w:rsidP="00C7030D">
      <w:pPr>
        <w:pStyle w:val="FigureTableTitles"/>
        <w:rPr>
          <w:noProof/>
        </w:rPr>
      </w:pPr>
      <w:r w:rsidRPr="009E53DB">
        <w:rPr>
          <w:noProof/>
        </w:rPr>
        <w:lastRenderedPageBreak/>
        <w:t>Table ES-</w:t>
      </w:r>
      <w:r w:rsidR="00CC12C0">
        <w:rPr>
          <w:noProof/>
        </w:rPr>
        <w:t>3</w:t>
      </w:r>
    </w:p>
    <w:p w14:paraId="04F1D17A" w14:textId="77777777" w:rsidR="00C7030D" w:rsidRDefault="00CC12C0" w:rsidP="00C7030D">
      <w:pPr>
        <w:pStyle w:val="FigureTableTitles"/>
        <w:rPr>
          <w:noProof/>
        </w:rPr>
      </w:pPr>
      <w:r>
        <w:rPr>
          <w:noProof/>
        </w:rPr>
        <w:t>Schedule of Development Charges</w:t>
      </w:r>
    </w:p>
    <w:p w14:paraId="22D5CE7D" w14:textId="1DBD5EFD" w:rsidR="00CE1D8C" w:rsidRDefault="00C7030D" w:rsidP="007A4683">
      <w:pPr>
        <w:pStyle w:val="BodyText125"/>
        <w:rPr>
          <w:noProof/>
        </w:rPr>
        <w:sectPr w:rsidR="00CE1D8C" w:rsidSect="00CC12C0">
          <w:footerReference w:type="first" r:id="rId26"/>
          <w:footnotePr>
            <w:numRestart w:val="eachPage"/>
          </w:footnotePr>
          <w:pgSz w:w="15840" w:h="12240" w:orient="landscape" w:code="1"/>
          <w:pgMar w:top="1440" w:right="1440" w:bottom="1440" w:left="1440" w:header="432" w:footer="619" w:gutter="0"/>
          <w:pgNumType w:fmt="lowerRoman" w:start="1"/>
          <w:cols w:space="708"/>
          <w:titlePg/>
          <w:docGrid w:linePitch="360"/>
        </w:sectPr>
      </w:pPr>
      <w:r w:rsidRPr="00C7030D">
        <w:drawing>
          <wp:inline distT="0" distB="0" distL="0" distR="0" wp14:anchorId="706A554C" wp14:editId="17EAC16D">
            <wp:extent cx="8229600" cy="3078480"/>
            <wp:effectExtent l="0" t="0" r="0" b="7620"/>
            <wp:docPr id="2114143815" name="Picture 1" descr="schedule of development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43815" name="Picture 1" descr="schedule of development charg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3078480"/>
                    </a:xfrm>
                    <a:prstGeom prst="rect">
                      <a:avLst/>
                    </a:prstGeom>
                    <a:noFill/>
                    <a:ln>
                      <a:noFill/>
                    </a:ln>
                  </pic:spPr>
                </pic:pic>
              </a:graphicData>
            </a:graphic>
          </wp:inline>
        </w:drawing>
      </w:r>
    </w:p>
    <w:p w14:paraId="7F5F4781" w14:textId="4368EAC3" w:rsidR="0040402C" w:rsidRPr="00047E20" w:rsidRDefault="001E2D51" w:rsidP="0040402C">
      <w:pPr>
        <w:sectPr w:rsidR="0040402C" w:rsidRPr="00047E20" w:rsidSect="00095E6C">
          <w:headerReference w:type="default" r:id="rId28"/>
          <w:footerReference w:type="default" r:id="rId29"/>
          <w:headerReference w:type="first" r:id="rId30"/>
          <w:footerReference w:type="first" r:id="rId31"/>
          <w:pgSz w:w="12240" w:h="15840" w:code="1"/>
          <w:pgMar w:top="0" w:right="0" w:bottom="0" w:left="0" w:header="0" w:footer="619" w:gutter="0"/>
          <w:cols w:space="708"/>
          <w:titlePg/>
          <w:docGrid w:linePitch="360"/>
        </w:sectPr>
      </w:pPr>
      <w:bookmarkStart w:id="5" w:name="_Toc520822887"/>
      <w:bookmarkStart w:id="6" w:name="_Toc520910932"/>
      <w:bookmarkStart w:id="7" w:name="_Toc520911313"/>
      <w:r>
        <w:rPr>
          <w:noProof/>
        </w:rPr>
        <w:lastRenderedPageBreak/>
        <mc:AlternateContent>
          <mc:Choice Requires="wps">
            <w:drawing>
              <wp:inline distT="0" distB="0" distL="0" distR="0" wp14:anchorId="0F643D2A" wp14:editId="5576A370">
                <wp:extent cx="7772400" cy="5943600"/>
                <wp:effectExtent l="0" t="0" r="0" b="0"/>
                <wp:docPr id="3"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DDADF" w14:textId="77777777" w:rsidR="00D931C2" w:rsidRPr="0096330A" w:rsidRDefault="00D931C2" w:rsidP="0040402C">
                            <w:pPr>
                              <w:pStyle w:val="Dividers"/>
                            </w:pPr>
                            <w:r>
                              <w:t>Report</w:t>
                            </w:r>
                          </w:p>
                        </w:txbxContent>
                      </wps:txbx>
                      <wps:bodyPr rot="0" vert="horz" wrap="square" lIns="91440" tIns="45720" rIns="91440" bIns="45720" anchor="t" anchorCtr="0" upright="1">
                        <a:noAutofit/>
                      </wps:bodyPr>
                    </wps:wsp>
                  </a:graphicData>
                </a:graphic>
              </wp:inline>
            </w:drawing>
          </mc:Choice>
          <mc:Fallback>
            <w:pict>
              <v:shape w14:anchorId="0F643D2A" id="Text Box 4" o:spid="_x0000_s1028" type="#_x0000_t202" alt="&quot;&quot;" style="width:612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" filled="f" stroked="f">
                <v:textbox>
                  <w:txbxContent>
                    <w:p w14:paraId="3EEDDADF" w14:textId="77777777" w:rsidR="00D931C2" w:rsidRPr="0096330A" w:rsidRDefault="00D931C2" w:rsidP="0040402C">
                      <w:pPr>
                        <w:pStyle w:val="Dividers"/>
                      </w:pPr>
                      <w:r>
                        <w:t>Report</w:t>
                      </w:r>
                    </w:p>
                  </w:txbxContent>
                </v:textbox>
                <w10:anchorlock/>
              </v:shape>
            </w:pict>
          </mc:Fallback>
        </mc:AlternateContent>
      </w:r>
    </w:p>
    <w:p w14:paraId="0547259D" w14:textId="77777777" w:rsidR="004C1A10" w:rsidRDefault="004C1A10" w:rsidP="00DC5440">
      <w:pPr>
        <w:pStyle w:val="ChapterDividersTitle"/>
      </w:pPr>
      <w:r w:rsidRPr="00DC5440">
        <w:rPr>
          <w:rStyle w:val="ChapterDividersChar"/>
        </w:rPr>
        <w:lastRenderedPageBreak/>
        <w:t>C</w:t>
      </w:r>
      <w:r w:rsidR="00A678E0" w:rsidRPr="00DC5440">
        <w:rPr>
          <w:rStyle w:val="ChapterDividersChar"/>
        </w:rPr>
        <w:t>hapter 1</w:t>
      </w:r>
      <w:r w:rsidR="00620725" w:rsidRPr="00DC5440">
        <w:t xml:space="preserve"> </w:t>
      </w:r>
      <w:r w:rsidR="00620725" w:rsidRPr="00DC5440">
        <w:br/>
      </w:r>
      <w:r w:rsidR="00A678E0" w:rsidRPr="00DC5440">
        <w:t>Introduction</w:t>
      </w:r>
      <w:bookmarkEnd w:id="5"/>
      <w:bookmarkEnd w:id="6"/>
      <w:bookmarkEnd w:id="7"/>
    </w:p>
    <w:p w14:paraId="157AB45B" w14:textId="77777777" w:rsidR="00DC5440" w:rsidRPr="00DC5440" w:rsidRDefault="00DC5440" w:rsidP="00DC5440">
      <w:pPr>
        <w:pStyle w:val="ChapterDividers"/>
        <w:sectPr w:rsidR="00DC5440" w:rsidRPr="00DC5440" w:rsidSect="00095E6C">
          <w:headerReference w:type="default" r:id="rId32"/>
          <w:footerReference w:type="default" r:id="rId33"/>
          <w:headerReference w:type="first" r:id="rId34"/>
          <w:footerReference w:type="first" r:id="rId35"/>
          <w:footnotePr>
            <w:numRestart w:val="eachPage"/>
          </w:footnotePr>
          <w:pgSz w:w="12240" w:h="15840" w:code="1"/>
          <w:pgMar w:top="1440" w:right="1440" w:bottom="1440" w:left="1440" w:header="432" w:footer="619" w:gutter="0"/>
          <w:pgNumType w:start="1" w:chapStyle="1"/>
          <w:cols w:space="708"/>
          <w:titlePg/>
          <w:docGrid w:linePitch="360"/>
        </w:sectPr>
      </w:pPr>
    </w:p>
    <w:p w14:paraId="1F65C301" w14:textId="77777777" w:rsidR="00804AED" w:rsidRPr="00174968" w:rsidRDefault="00551A91" w:rsidP="00F5670B">
      <w:pPr>
        <w:pStyle w:val="Heading1"/>
        <w:rPr>
          <w:noProof/>
        </w:rPr>
      </w:pPr>
      <w:bookmarkStart w:id="8" w:name="_Toc520822888"/>
      <w:bookmarkStart w:id="9" w:name="_Toc520910933"/>
      <w:bookmarkStart w:id="10" w:name="_Toc520911314"/>
      <w:bookmarkStart w:id="11" w:name="_Toc154068724"/>
      <w:r>
        <w:rPr>
          <w:noProof/>
        </w:rPr>
        <w:lastRenderedPageBreak/>
        <w:t>Introduction</w:t>
      </w:r>
      <w:bookmarkEnd w:id="3"/>
      <w:bookmarkEnd w:id="8"/>
      <w:bookmarkEnd w:id="9"/>
      <w:bookmarkEnd w:id="10"/>
      <w:bookmarkEnd w:id="11"/>
    </w:p>
    <w:p w14:paraId="1DF6BCD4" w14:textId="77777777" w:rsidR="00551A91" w:rsidRPr="00982558" w:rsidRDefault="00551A91" w:rsidP="00B16524">
      <w:pPr>
        <w:pStyle w:val="Heading2"/>
        <w:numPr>
          <w:ilvl w:val="1"/>
          <w:numId w:val="3"/>
        </w:numPr>
      </w:pPr>
      <w:bookmarkStart w:id="12" w:name="_Toc494292961"/>
      <w:bookmarkStart w:id="13" w:name="_Toc520300693"/>
      <w:bookmarkStart w:id="14" w:name="_Toc520822889"/>
      <w:bookmarkStart w:id="15" w:name="_Toc520910934"/>
      <w:bookmarkStart w:id="16" w:name="_Toc520911315"/>
      <w:bookmarkStart w:id="17" w:name="_Toc517273724"/>
      <w:bookmarkStart w:id="18" w:name="_Toc154068725"/>
      <w:r w:rsidRPr="005C22A3">
        <w:t>Purpose</w:t>
      </w:r>
      <w:r w:rsidRPr="00982558">
        <w:t xml:space="preserve"> of this Document</w:t>
      </w:r>
      <w:bookmarkEnd w:id="12"/>
      <w:bookmarkEnd w:id="13"/>
      <w:bookmarkEnd w:id="14"/>
      <w:bookmarkEnd w:id="15"/>
      <w:bookmarkEnd w:id="16"/>
      <w:bookmarkEnd w:id="18"/>
    </w:p>
    <w:p w14:paraId="1DB6E516" w14:textId="589723D3" w:rsidR="00551A91" w:rsidRPr="00982558" w:rsidRDefault="00551A91" w:rsidP="00551A91">
      <w:pPr>
        <w:pStyle w:val="BodyText125"/>
      </w:pPr>
      <w:r w:rsidRPr="00982558">
        <w:t xml:space="preserve">This background study has been prepared pursuant to the requirements of the </w:t>
      </w:r>
      <w:r w:rsidR="006F4136" w:rsidRPr="006F4136">
        <w:rPr>
          <w:i/>
          <w:iCs/>
        </w:rPr>
        <w:t>Development Charges Act, 1997</w:t>
      </w:r>
      <w:r w:rsidR="006F4136">
        <w:t>, as amended, (</w:t>
      </w:r>
      <w:r w:rsidRPr="00AA2DC6">
        <w:rPr>
          <w:iCs/>
        </w:rPr>
        <w:t>D.C.A.</w:t>
      </w:r>
      <w:r w:rsidR="006F4136">
        <w:rPr>
          <w:iCs/>
        </w:rPr>
        <w:t>)</w:t>
      </w:r>
      <w:r w:rsidRPr="00982558">
        <w:t xml:space="preserve"> (</w:t>
      </w:r>
      <w:r w:rsidR="0083059C">
        <w:t xml:space="preserve">section </w:t>
      </w:r>
      <w:r w:rsidRPr="00982558">
        <w:t>10) and, accordingly, recommends new</w:t>
      </w:r>
      <w:r w:rsidR="006F4136">
        <w:t xml:space="preserve"> development charges (</w:t>
      </w:r>
      <w:r>
        <w:t>D.C.</w:t>
      </w:r>
      <w:r w:rsidRPr="00982558">
        <w:t>s</w:t>
      </w:r>
      <w:r w:rsidR="006F4136">
        <w:t>)</w:t>
      </w:r>
      <w:r w:rsidRPr="00982558">
        <w:t xml:space="preserve"> and policies </w:t>
      </w:r>
      <w:r w:rsidRPr="00CA7852">
        <w:t xml:space="preserve">for the </w:t>
      </w:r>
      <w:r w:rsidR="00A1355F" w:rsidRPr="00CA7852">
        <w:t>City</w:t>
      </w:r>
      <w:r w:rsidRPr="00CA7852">
        <w:t xml:space="preserve"> of </w:t>
      </w:r>
      <w:r w:rsidR="00A1355F" w:rsidRPr="00CA7852">
        <w:t>Cambridge</w:t>
      </w:r>
      <w:r w:rsidRPr="00CA7852">
        <w:t>.</w:t>
      </w:r>
    </w:p>
    <w:p w14:paraId="0C7F4F31" w14:textId="2C5DE187" w:rsidR="00551A91" w:rsidRPr="00982558" w:rsidRDefault="00551A91" w:rsidP="00551A91">
      <w:pPr>
        <w:pStyle w:val="BodyText125"/>
      </w:pPr>
      <w:r w:rsidRPr="00982558">
        <w:t xml:space="preserve">The </w:t>
      </w:r>
      <w:r w:rsidR="00A1355F" w:rsidRPr="00CA7852">
        <w:t>City</w:t>
      </w:r>
      <w:r w:rsidRPr="00CA7852">
        <w:t xml:space="preserve"> retained</w:t>
      </w:r>
      <w:r w:rsidRPr="00982558">
        <w:t xml:space="preserve"> Watson &amp; Associates Economists Ltd. (Watson), to undertake the </w:t>
      </w:r>
      <w:r>
        <w:t>D.C.</w:t>
      </w:r>
      <w:r w:rsidRPr="00982558">
        <w:t xml:space="preserve"> study process </w:t>
      </w:r>
      <w:r w:rsidR="00601BBF">
        <w:t xml:space="preserve">beginning late-2022 with anticipated completion </w:t>
      </w:r>
      <w:r w:rsidR="00994359">
        <w:t>early-</w:t>
      </w:r>
      <w:r w:rsidRPr="00982558">
        <w:t>20</w:t>
      </w:r>
      <w:r w:rsidR="00CA7852">
        <w:t>2</w:t>
      </w:r>
      <w:r w:rsidR="00994359">
        <w:t>4</w:t>
      </w:r>
      <w:r w:rsidRPr="00982558">
        <w:t>.  Watson worked w</w:t>
      </w:r>
      <w:r w:rsidRPr="00CA7852">
        <w:t xml:space="preserve">ith </w:t>
      </w:r>
      <w:r w:rsidR="00A1355F" w:rsidRPr="00CA7852">
        <w:t>City</w:t>
      </w:r>
      <w:r w:rsidRPr="00CA7852">
        <w:t xml:space="preserve"> staff </w:t>
      </w:r>
      <w:r w:rsidR="00B21146" w:rsidRPr="00CA7852">
        <w:t>in</w:t>
      </w:r>
      <w:r w:rsidR="00B21146">
        <w:t xml:space="preserve"> </w:t>
      </w:r>
      <w:r w:rsidRPr="00982558">
        <w:t xml:space="preserve">preparing the </w:t>
      </w:r>
      <w:r>
        <w:t>D.C.</w:t>
      </w:r>
      <w:r w:rsidRPr="00982558">
        <w:t xml:space="preserve"> analysis and policy recommendations.</w:t>
      </w:r>
    </w:p>
    <w:p w14:paraId="0B0DC83F" w14:textId="77777777" w:rsidR="00551A91" w:rsidRPr="00982558" w:rsidRDefault="00551A91" w:rsidP="00551A91">
      <w:pPr>
        <w:pStyle w:val="BodyText125"/>
      </w:pPr>
      <w:r w:rsidRPr="00982558">
        <w:t xml:space="preserve">This </w:t>
      </w:r>
      <w:r>
        <w:t>D.C.</w:t>
      </w:r>
      <w:r w:rsidRPr="00982558">
        <w:t xml:space="preserve"> background study, containing the proposed </w:t>
      </w:r>
      <w:r>
        <w:t>D.C.</w:t>
      </w:r>
      <w:r w:rsidRPr="00982558">
        <w:t xml:space="preserve"> by-law, will be distributed to members of the public in order to provide interested parties with sufficient background information on the legislation, the study’s recommendations</w:t>
      </w:r>
      <w:r w:rsidR="00B21146">
        <w:t>,</w:t>
      </w:r>
      <w:r w:rsidRPr="00982558">
        <w:t xml:space="preserve"> and an outline of the basis for these recommendations.</w:t>
      </w:r>
    </w:p>
    <w:p w14:paraId="2AC7CA44" w14:textId="5B0AA87C" w:rsidR="00551A91" w:rsidRPr="00982558" w:rsidRDefault="00551A91" w:rsidP="00551A91">
      <w:pPr>
        <w:pStyle w:val="BodyText125"/>
      </w:pPr>
      <w:r w:rsidRPr="00982558">
        <w:t xml:space="preserve">This report has been prepared, in the first instance, to meet the statutory requirements applicable to the </w:t>
      </w:r>
      <w:r w:rsidR="00A1355F" w:rsidRPr="00CA7852">
        <w:t>City</w:t>
      </w:r>
      <w:r w:rsidRPr="00CA7852">
        <w:t>’s D.C. background</w:t>
      </w:r>
      <w:r w:rsidRPr="00982558">
        <w:t xml:space="preserve"> study, as summarized in Chapter 4.  It also addresses the requirement for “rules” (contained in Chapter 7) and the proposed by-law</w:t>
      </w:r>
      <w:r w:rsidR="00AF3F46">
        <w:t>(s)</w:t>
      </w:r>
      <w:r w:rsidRPr="00982558">
        <w:t xml:space="preserve"> to be made available as part of the </w:t>
      </w:r>
      <w:r w:rsidRPr="00D80E0F">
        <w:t xml:space="preserve">approval process (included as Appendix </w:t>
      </w:r>
      <w:r w:rsidR="00CA7852" w:rsidRPr="00D80E0F">
        <w:t>G</w:t>
      </w:r>
      <w:r w:rsidR="00AF3F46">
        <w:t>, under separate cover</w:t>
      </w:r>
      <w:r w:rsidRPr="00D80E0F">
        <w:t>).</w:t>
      </w:r>
    </w:p>
    <w:p w14:paraId="4DA76114" w14:textId="5550BE2B" w:rsidR="00551A91" w:rsidRPr="00982558" w:rsidRDefault="00551A91" w:rsidP="00551A91">
      <w:pPr>
        <w:pStyle w:val="BodyText125"/>
      </w:pPr>
      <w:r w:rsidRPr="00982558">
        <w:t xml:space="preserve">In addition, the report is designed to set out sufficient background on the legislation (Chapter 4), </w:t>
      </w:r>
      <w:r w:rsidR="00A1355F" w:rsidRPr="00CA7852">
        <w:t>Cambridge</w:t>
      </w:r>
      <w:r w:rsidRPr="00CA7852">
        <w:t>’s current D</w:t>
      </w:r>
      <w:r>
        <w:t>.C.</w:t>
      </w:r>
      <w:r w:rsidRPr="00982558">
        <w:t xml:space="preserve"> polic</w:t>
      </w:r>
      <w:r>
        <w:t>ies</w:t>
      </w:r>
      <w:r w:rsidRPr="00982558">
        <w:t xml:space="preserve"> (Chapter 2) and the policies underlying the proposed by-law, to make the exercise understandable to those who are involved.</w:t>
      </w:r>
    </w:p>
    <w:p w14:paraId="294415F5" w14:textId="77777777" w:rsidR="00551A91" w:rsidRPr="00982558" w:rsidRDefault="00551A91" w:rsidP="00551A91">
      <w:pPr>
        <w:pStyle w:val="BodyText125"/>
      </w:pPr>
      <w:r w:rsidRPr="00982558">
        <w:t>Finally, it addresses post-adoption implementation requirements (Chapter 8) which are critical to the successful application of the new policy.</w:t>
      </w:r>
    </w:p>
    <w:p w14:paraId="340B1BBD" w14:textId="77777777" w:rsidR="00551A91" w:rsidRPr="00982558" w:rsidRDefault="00551A91" w:rsidP="00551A91">
      <w:pPr>
        <w:pStyle w:val="BodyText125"/>
      </w:pPr>
      <w:r w:rsidRPr="00982558">
        <w:t xml:space="preserve">The </w:t>
      </w:r>
      <w:r w:rsidR="00B1207A">
        <w:t>c</w:t>
      </w:r>
      <w:r w:rsidRPr="00982558">
        <w:t xml:space="preserve">hapters in the report are supported by Appendices containing the data required to explain and substantiate the calculation of the charge.  A full discussion of the statutory requirements for the preparation of a background study and calculation of a </w:t>
      </w:r>
      <w:r>
        <w:t>D.C.</w:t>
      </w:r>
      <w:r w:rsidRPr="00982558">
        <w:t xml:space="preserve"> is provided herein.</w:t>
      </w:r>
    </w:p>
    <w:p w14:paraId="2934034B" w14:textId="77777777" w:rsidR="00551A91" w:rsidRPr="00982558" w:rsidRDefault="00551A91" w:rsidP="00B16524">
      <w:pPr>
        <w:pStyle w:val="Heading2"/>
        <w:numPr>
          <w:ilvl w:val="1"/>
          <w:numId w:val="3"/>
        </w:numPr>
      </w:pPr>
      <w:bookmarkStart w:id="19" w:name="_Toc494292962"/>
      <w:bookmarkStart w:id="20" w:name="_Toc520300694"/>
      <w:bookmarkStart w:id="21" w:name="_Toc520822890"/>
      <w:bookmarkStart w:id="22" w:name="_Toc520910935"/>
      <w:bookmarkStart w:id="23" w:name="_Toc520911316"/>
      <w:bookmarkStart w:id="24" w:name="_Toc154068726"/>
      <w:r w:rsidRPr="00982558">
        <w:lastRenderedPageBreak/>
        <w:t>Summary of the Process</w:t>
      </w:r>
      <w:bookmarkEnd w:id="19"/>
      <w:bookmarkEnd w:id="20"/>
      <w:bookmarkEnd w:id="21"/>
      <w:bookmarkEnd w:id="22"/>
      <w:bookmarkEnd w:id="23"/>
      <w:bookmarkEnd w:id="24"/>
    </w:p>
    <w:p w14:paraId="4B6F21B9" w14:textId="515C4B5A" w:rsidR="00F90711" w:rsidRPr="00982558" w:rsidRDefault="00551A91" w:rsidP="00F90711">
      <w:pPr>
        <w:pStyle w:val="BodyText125"/>
      </w:pPr>
      <w:r w:rsidRPr="00982558">
        <w:t xml:space="preserve">The public meeting required under </w:t>
      </w:r>
      <w:r w:rsidR="0083059C">
        <w:t xml:space="preserve">section </w:t>
      </w:r>
      <w:r w:rsidRPr="00982558">
        <w:t xml:space="preserve">12 of the </w:t>
      </w:r>
      <w:r w:rsidRPr="00AA2DC6">
        <w:rPr>
          <w:iCs/>
        </w:rPr>
        <w:t>D.C.A.</w:t>
      </w:r>
      <w:r w:rsidRPr="00982558">
        <w:t xml:space="preserve"> has been scheduled </w:t>
      </w:r>
      <w:r w:rsidRPr="00E63825">
        <w:t xml:space="preserve">for </w:t>
      </w:r>
      <w:r w:rsidR="00FF04DE" w:rsidRPr="00C7030D">
        <w:t>March 19</w:t>
      </w:r>
      <w:r w:rsidRPr="00C7030D">
        <w:t>, 20</w:t>
      </w:r>
      <w:r w:rsidR="00BE3AA4" w:rsidRPr="00C7030D">
        <w:t>23</w:t>
      </w:r>
      <w:r w:rsidRPr="00C7030D">
        <w:t>.</w:t>
      </w:r>
      <w:r w:rsidRPr="00982558">
        <w:t xml:space="preserve">  It</w:t>
      </w:r>
      <w:r>
        <w:t>s</w:t>
      </w:r>
      <w:r w:rsidRPr="00982558">
        <w:t xml:space="preserve"> purpose is to present the study to the public and to solicit public input.  The meeting is also being held to answer any questions regarding the study’s purpose, methodology</w:t>
      </w:r>
      <w:r w:rsidR="00B21146">
        <w:t>,</w:t>
      </w:r>
      <w:r w:rsidRPr="00982558">
        <w:t xml:space="preserve"> and the proposed modifications to the </w:t>
      </w:r>
      <w:r w:rsidR="00A1355F" w:rsidRPr="00E36D2B">
        <w:t>City</w:t>
      </w:r>
      <w:r w:rsidRPr="00E36D2B">
        <w:t>’s D.C.s.</w:t>
      </w:r>
    </w:p>
    <w:p w14:paraId="016D8902" w14:textId="0C61EF35" w:rsidR="00551A91" w:rsidRPr="00982558" w:rsidRDefault="00551A91" w:rsidP="00551A91">
      <w:pPr>
        <w:pStyle w:val="BodyText125"/>
      </w:pPr>
      <w:r w:rsidRPr="00BE3AA4">
        <w:t xml:space="preserve">In accordance with the legislation, the background study and proposed D.C. by-law will be available for public review on </w:t>
      </w:r>
      <w:r w:rsidR="00BE3AA4" w:rsidRPr="00BE3AA4">
        <w:t>December 22</w:t>
      </w:r>
      <w:r w:rsidRPr="00BE3AA4">
        <w:t>, 20</w:t>
      </w:r>
      <w:r w:rsidR="00BE3AA4" w:rsidRPr="00BE3AA4">
        <w:t>23</w:t>
      </w:r>
      <w:r w:rsidRPr="00BE3AA4">
        <w:t>.</w:t>
      </w:r>
    </w:p>
    <w:p w14:paraId="622DBA30" w14:textId="77777777" w:rsidR="00551A91" w:rsidRPr="00982558" w:rsidRDefault="00551A91" w:rsidP="00551A91">
      <w:pPr>
        <w:pStyle w:val="BodyText125"/>
      </w:pPr>
      <w:r w:rsidRPr="00982558">
        <w:t>The process to be followed in finalizing the report and recommendations includes:</w:t>
      </w:r>
    </w:p>
    <w:p w14:paraId="0F4CA094" w14:textId="77777777" w:rsidR="00F90711" w:rsidRPr="00982558" w:rsidRDefault="009E2C8B" w:rsidP="00F90711">
      <w:pPr>
        <w:pStyle w:val="BodyTextbullets125"/>
      </w:pPr>
      <w:r>
        <w:t>c</w:t>
      </w:r>
      <w:r w:rsidR="00551A91" w:rsidRPr="00982558">
        <w:t xml:space="preserve">onsideration of responses received prior to, at, or immediately following the </w:t>
      </w:r>
      <w:r w:rsidR="00B1207A">
        <w:t>p</w:t>
      </w:r>
      <w:r w:rsidR="00551A91" w:rsidRPr="00982558">
        <w:t xml:space="preserve">ublic </w:t>
      </w:r>
      <w:r w:rsidR="00B1207A">
        <w:t>m</w:t>
      </w:r>
      <w:r w:rsidR="00551A91" w:rsidRPr="00982558">
        <w:t>eeting; and</w:t>
      </w:r>
    </w:p>
    <w:p w14:paraId="09B9043E" w14:textId="77777777" w:rsidR="00551A91" w:rsidRPr="00982558" w:rsidRDefault="009E2C8B" w:rsidP="00551A91">
      <w:pPr>
        <w:pStyle w:val="BodyTextbullets125"/>
      </w:pPr>
      <w:r>
        <w:t>f</w:t>
      </w:r>
      <w:r w:rsidR="00551A91" w:rsidRPr="00982558">
        <w:t>inalization of the report and Council consideration of the by-law subsequent to the public meeting.</w:t>
      </w:r>
    </w:p>
    <w:p w14:paraId="19E47406" w14:textId="77777777" w:rsidR="00551A91" w:rsidRDefault="00551A91" w:rsidP="00551A91">
      <w:pPr>
        <w:pStyle w:val="BodyText125"/>
      </w:pPr>
      <w:r w:rsidRPr="00982558">
        <w:t xml:space="preserve">Figure 1-1 outlines the proposed schedule to be followed with respect to the </w:t>
      </w:r>
      <w:r>
        <w:t>D.C.</w:t>
      </w:r>
      <w:r w:rsidRPr="00982558">
        <w:t xml:space="preserve"> by-law adoption process.</w:t>
      </w:r>
    </w:p>
    <w:p w14:paraId="6C43D82D" w14:textId="77777777" w:rsidR="00551A91" w:rsidRPr="00056346" w:rsidRDefault="00551A91" w:rsidP="00551A91">
      <w:pPr>
        <w:pStyle w:val="FigureTableTitles"/>
      </w:pPr>
      <w:r w:rsidRPr="00056346">
        <w:t>Figure 1-1</w:t>
      </w:r>
    </w:p>
    <w:p w14:paraId="01C939ED" w14:textId="2994A60A" w:rsidR="00507049" w:rsidRDefault="00551A91" w:rsidP="00BE3F05">
      <w:pPr>
        <w:pStyle w:val="FigureTableTitles"/>
        <w:rPr>
          <w:highlight w:val="yellow"/>
        </w:rPr>
      </w:pPr>
      <w:r w:rsidRPr="00056346">
        <w:t xml:space="preserve">Schedule of Key D.C. Process Dates </w:t>
      </w:r>
      <w:r w:rsidRPr="00877517">
        <w:t xml:space="preserve">for the </w:t>
      </w:r>
      <w:r w:rsidR="00A1355F" w:rsidRPr="00877517">
        <w:t>City</w:t>
      </w:r>
      <w:r w:rsidRPr="00877517">
        <w:t xml:space="preserve"> of </w:t>
      </w:r>
      <w:r w:rsidR="00A1355F" w:rsidRPr="00877517">
        <w:t>Cambridge</w:t>
      </w:r>
    </w:p>
    <w:tbl>
      <w:tblPr>
        <w:tblStyle w:val="TableGrid"/>
        <w:tblW w:w="0" w:type="auto"/>
        <w:tblLook w:val="04A0" w:firstRow="1" w:lastRow="0" w:firstColumn="1" w:lastColumn="0" w:noHBand="0" w:noVBand="1"/>
      </w:tblPr>
      <w:tblGrid>
        <w:gridCol w:w="4675"/>
        <w:gridCol w:w="4675"/>
      </w:tblGrid>
      <w:tr w:rsidR="00877517" w:rsidRPr="00D80E0F" w14:paraId="753907DA" w14:textId="77777777" w:rsidTr="00877517">
        <w:tc>
          <w:tcPr>
            <w:cnfStyle w:val="001000000000" w:firstRow="0" w:lastRow="0" w:firstColumn="1" w:lastColumn="0" w:oddVBand="0" w:evenVBand="0" w:oddHBand="0" w:evenHBand="0" w:firstRowFirstColumn="0" w:firstRowLastColumn="0" w:lastRowFirstColumn="0" w:lastRowLastColumn="0"/>
            <w:tcW w:w="4675" w:type="dxa"/>
            <w:shd w:val="clear" w:color="auto" w:fill="425364" w:themeFill="text1"/>
            <w:vAlign w:val="center"/>
          </w:tcPr>
          <w:p w14:paraId="063F0B42" w14:textId="07415C29" w:rsidR="00877517" w:rsidRPr="00D80E0F" w:rsidRDefault="00877517" w:rsidP="00877517">
            <w:pPr>
              <w:pStyle w:val="BodyTextss"/>
              <w:spacing w:after="0"/>
              <w:ind w:left="431"/>
              <w:contextualSpacing/>
              <w:rPr>
                <w:b/>
                <w:bCs/>
                <w:color w:val="FFFFFF" w:themeColor="background1"/>
              </w:rPr>
            </w:pPr>
            <w:r w:rsidRPr="00D80E0F">
              <w:rPr>
                <w:b/>
                <w:bCs/>
                <w:color w:val="FFFFFF" w:themeColor="background1"/>
              </w:rPr>
              <w:t>Schedule of Study Milestone</w:t>
            </w:r>
          </w:p>
        </w:tc>
        <w:tc>
          <w:tcPr>
            <w:tcW w:w="4675" w:type="dxa"/>
            <w:shd w:val="clear" w:color="auto" w:fill="425364" w:themeFill="text1"/>
            <w:vAlign w:val="center"/>
          </w:tcPr>
          <w:p w14:paraId="3B9F9C39" w14:textId="6BE81514" w:rsidR="00877517" w:rsidRPr="00D80E0F" w:rsidRDefault="00877517" w:rsidP="00507049">
            <w:pPr>
              <w:pStyle w:val="BodyTextss"/>
              <w:spacing w:after="0"/>
              <w:contextualSpacing/>
              <w:jc w:val="center"/>
              <w:cnfStyle w:val="000000000000" w:firstRow="0" w:lastRow="0" w:firstColumn="0" w:lastColumn="0" w:oddVBand="0" w:evenVBand="0" w:oddHBand="0" w:evenHBand="0" w:firstRowFirstColumn="0" w:firstRowLastColumn="0" w:lastRowFirstColumn="0" w:lastRowLastColumn="0"/>
              <w:rPr>
                <w:b/>
                <w:bCs/>
              </w:rPr>
            </w:pPr>
            <w:r w:rsidRPr="00D80E0F">
              <w:rPr>
                <w:b/>
                <w:bCs/>
                <w:color w:val="FFFFFF" w:themeColor="background1"/>
              </w:rPr>
              <w:t>Dates</w:t>
            </w:r>
          </w:p>
        </w:tc>
      </w:tr>
      <w:tr w:rsidR="00917780" w:rsidRPr="00D80E0F" w14:paraId="385AA47B" w14:textId="77777777" w:rsidTr="00FC0B89">
        <w:tc>
          <w:tcPr>
            <w:cnfStyle w:val="001000000000" w:firstRow="0" w:lastRow="0" w:firstColumn="1" w:lastColumn="0" w:oddVBand="0" w:evenVBand="0" w:oddHBand="0" w:evenHBand="0" w:firstRowFirstColumn="0" w:firstRowLastColumn="0" w:lastRowFirstColumn="0" w:lastRowLastColumn="0"/>
            <w:tcW w:w="4675" w:type="dxa"/>
            <w:vAlign w:val="center"/>
          </w:tcPr>
          <w:p w14:paraId="1FBFEB14" w14:textId="77777777" w:rsidR="00917780" w:rsidRPr="00D80E0F" w:rsidRDefault="00917780" w:rsidP="00F43901">
            <w:pPr>
              <w:pStyle w:val="BodyTextss"/>
              <w:numPr>
                <w:ilvl w:val="0"/>
                <w:numId w:val="22"/>
              </w:numPr>
              <w:spacing w:after="0"/>
              <w:ind w:left="431" w:hanging="431"/>
              <w:contextualSpacing/>
            </w:pPr>
            <w:r w:rsidRPr="00D80E0F">
              <w:t>Data collection, staff review, engineering work, D.C. calculations and policy work</w:t>
            </w:r>
          </w:p>
        </w:tc>
        <w:tc>
          <w:tcPr>
            <w:tcW w:w="4675" w:type="dxa"/>
            <w:vAlign w:val="center"/>
          </w:tcPr>
          <w:p w14:paraId="20AA17AA" w14:textId="09641C4F" w:rsidR="00917780" w:rsidRPr="00D80E0F" w:rsidRDefault="004C0546" w:rsidP="004C0546">
            <w:pPr>
              <w:pStyle w:val="BodyTextss"/>
              <w:spacing w:after="0"/>
              <w:contextualSpacing/>
              <w:cnfStyle w:val="000000000000" w:firstRow="0" w:lastRow="0" w:firstColumn="0" w:lastColumn="0" w:oddVBand="0" w:evenVBand="0" w:oddHBand="0" w:evenHBand="0" w:firstRowFirstColumn="0" w:firstRowLastColumn="0" w:lastRowFirstColumn="0" w:lastRowLastColumn="0"/>
            </w:pPr>
            <w:r>
              <w:t>February 2022</w:t>
            </w:r>
            <w:r w:rsidR="00917780" w:rsidRPr="00D80E0F">
              <w:t xml:space="preserve"> to </w:t>
            </w:r>
            <w:r>
              <w:t>December 2023</w:t>
            </w:r>
          </w:p>
        </w:tc>
      </w:tr>
      <w:tr w:rsidR="004C0546" w:rsidRPr="00D80E0F" w14:paraId="5711FB21" w14:textId="77777777" w:rsidTr="00FC0B89">
        <w:tc>
          <w:tcPr>
            <w:cnfStyle w:val="001000000000" w:firstRow="0" w:lastRow="0" w:firstColumn="1" w:lastColumn="0" w:oddVBand="0" w:evenVBand="0" w:oddHBand="0" w:evenHBand="0" w:firstRowFirstColumn="0" w:firstRowLastColumn="0" w:lastRowFirstColumn="0" w:lastRowLastColumn="0"/>
            <w:tcW w:w="4675" w:type="dxa"/>
            <w:vAlign w:val="center"/>
          </w:tcPr>
          <w:p w14:paraId="1E545CBF" w14:textId="1775A9DD" w:rsidR="004C0546" w:rsidRPr="00D80E0F" w:rsidRDefault="004C0546" w:rsidP="00F43901">
            <w:pPr>
              <w:pStyle w:val="BodyTextss"/>
              <w:numPr>
                <w:ilvl w:val="0"/>
                <w:numId w:val="22"/>
              </w:numPr>
              <w:spacing w:after="0"/>
              <w:ind w:left="431" w:hanging="431"/>
              <w:contextualSpacing/>
            </w:pPr>
            <w:r>
              <w:t>Public release of final D.C. Background study and proposed by-law</w:t>
            </w:r>
          </w:p>
        </w:tc>
        <w:tc>
          <w:tcPr>
            <w:tcW w:w="4675" w:type="dxa"/>
            <w:vAlign w:val="center"/>
          </w:tcPr>
          <w:p w14:paraId="2576BBDE" w14:textId="388BE2A9" w:rsidR="004C0546" w:rsidRPr="00D80E0F" w:rsidRDefault="00BE3AA4" w:rsidP="00507049">
            <w:pPr>
              <w:pStyle w:val="BodyTextss"/>
              <w:spacing w:after="0"/>
              <w:contextualSpacing/>
              <w:cnfStyle w:val="000000000000" w:firstRow="0" w:lastRow="0" w:firstColumn="0" w:lastColumn="0" w:oddVBand="0" w:evenVBand="0" w:oddHBand="0" w:evenHBand="0" w:firstRowFirstColumn="0" w:firstRowLastColumn="0" w:lastRowFirstColumn="0" w:lastRowLastColumn="0"/>
            </w:pPr>
            <w:r>
              <w:t>December 22, 2023</w:t>
            </w:r>
          </w:p>
        </w:tc>
      </w:tr>
      <w:tr w:rsidR="00917780" w:rsidRPr="00D80E0F" w14:paraId="2F0517E2" w14:textId="77777777" w:rsidTr="00FC0B89">
        <w:tc>
          <w:tcPr>
            <w:cnfStyle w:val="001000000000" w:firstRow="0" w:lastRow="0" w:firstColumn="1" w:lastColumn="0" w:oddVBand="0" w:evenVBand="0" w:oddHBand="0" w:evenHBand="0" w:firstRowFirstColumn="0" w:firstRowLastColumn="0" w:lastRowFirstColumn="0" w:lastRowLastColumn="0"/>
            <w:tcW w:w="4675" w:type="dxa"/>
            <w:vAlign w:val="center"/>
          </w:tcPr>
          <w:p w14:paraId="42AB25DE" w14:textId="77777777" w:rsidR="00917780" w:rsidRPr="00D80E0F" w:rsidRDefault="00917780" w:rsidP="00F43901">
            <w:pPr>
              <w:pStyle w:val="BodyTextss"/>
              <w:numPr>
                <w:ilvl w:val="0"/>
                <w:numId w:val="22"/>
              </w:numPr>
              <w:spacing w:after="0"/>
              <w:ind w:left="431" w:hanging="431"/>
              <w:contextualSpacing/>
            </w:pPr>
            <w:r w:rsidRPr="00D80E0F">
              <w:t>Public meeting advertisement placed in newspaper(s)</w:t>
            </w:r>
          </w:p>
        </w:tc>
        <w:tc>
          <w:tcPr>
            <w:tcW w:w="4675" w:type="dxa"/>
            <w:vAlign w:val="center"/>
          </w:tcPr>
          <w:p w14:paraId="79398736" w14:textId="1CB5DCC5" w:rsidR="00917780" w:rsidRPr="00D80E0F" w:rsidRDefault="00BE3AA4" w:rsidP="00507049">
            <w:pPr>
              <w:pStyle w:val="BodyTextss"/>
              <w:spacing w:after="0"/>
              <w:contextualSpacing/>
              <w:cnfStyle w:val="000000000000" w:firstRow="0" w:lastRow="0" w:firstColumn="0" w:lastColumn="0" w:oddVBand="0" w:evenVBand="0" w:oddHBand="0" w:evenHBand="0" w:firstRowFirstColumn="0" w:firstRowLastColumn="0" w:lastRowFirstColumn="0" w:lastRowLastColumn="0"/>
            </w:pPr>
            <w:r>
              <w:t xml:space="preserve">No later than February </w:t>
            </w:r>
            <w:r w:rsidR="00FF04DE">
              <w:t>27</w:t>
            </w:r>
            <w:r>
              <w:t>, 202</w:t>
            </w:r>
            <w:r w:rsidR="00F43901">
              <w:t>4</w:t>
            </w:r>
          </w:p>
        </w:tc>
      </w:tr>
      <w:tr w:rsidR="00917780" w:rsidRPr="00D80E0F" w14:paraId="7548BB1B" w14:textId="77777777" w:rsidTr="00FC0B89">
        <w:tc>
          <w:tcPr>
            <w:cnfStyle w:val="001000000000" w:firstRow="0" w:lastRow="0" w:firstColumn="1" w:lastColumn="0" w:oddVBand="0" w:evenVBand="0" w:oddHBand="0" w:evenHBand="0" w:firstRowFirstColumn="0" w:firstRowLastColumn="0" w:lastRowFirstColumn="0" w:lastRowLastColumn="0"/>
            <w:tcW w:w="4675" w:type="dxa"/>
            <w:vAlign w:val="center"/>
          </w:tcPr>
          <w:p w14:paraId="4359B679" w14:textId="77777777" w:rsidR="00917780" w:rsidRPr="00D80E0F" w:rsidRDefault="00917780" w:rsidP="00F43901">
            <w:pPr>
              <w:pStyle w:val="BodyTextss"/>
              <w:numPr>
                <w:ilvl w:val="0"/>
                <w:numId w:val="22"/>
              </w:numPr>
              <w:spacing w:after="0"/>
              <w:ind w:left="431" w:hanging="431"/>
              <w:contextualSpacing/>
            </w:pPr>
            <w:r w:rsidRPr="00D80E0F">
              <w:t>Public meeting of Council</w:t>
            </w:r>
          </w:p>
        </w:tc>
        <w:tc>
          <w:tcPr>
            <w:tcW w:w="4675" w:type="dxa"/>
            <w:vAlign w:val="center"/>
          </w:tcPr>
          <w:p w14:paraId="63BA1872" w14:textId="3391C052" w:rsidR="00917780" w:rsidRPr="00D80E0F" w:rsidRDefault="00FF04DE" w:rsidP="00507049">
            <w:pPr>
              <w:pStyle w:val="BodyTextss"/>
              <w:spacing w:after="0"/>
              <w:contextualSpacing/>
              <w:cnfStyle w:val="000000000000" w:firstRow="0" w:lastRow="0" w:firstColumn="0" w:lastColumn="0" w:oddVBand="0" w:evenVBand="0" w:oddHBand="0" w:evenHBand="0" w:firstRowFirstColumn="0" w:firstRowLastColumn="0" w:lastRowFirstColumn="0" w:lastRowLastColumn="0"/>
            </w:pPr>
            <w:r>
              <w:t>March 19</w:t>
            </w:r>
            <w:r w:rsidR="00BE3AA4">
              <w:t>, 202</w:t>
            </w:r>
            <w:r w:rsidR="00F43901">
              <w:t>4</w:t>
            </w:r>
          </w:p>
        </w:tc>
      </w:tr>
      <w:tr w:rsidR="00917780" w:rsidRPr="00D80E0F" w14:paraId="33D82D7A" w14:textId="77777777" w:rsidTr="00FC0B89">
        <w:tc>
          <w:tcPr>
            <w:cnfStyle w:val="001000000000" w:firstRow="0" w:lastRow="0" w:firstColumn="1" w:lastColumn="0" w:oddVBand="0" w:evenVBand="0" w:oddHBand="0" w:evenHBand="0" w:firstRowFirstColumn="0" w:firstRowLastColumn="0" w:lastRowFirstColumn="0" w:lastRowLastColumn="0"/>
            <w:tcW w:w="4675" w:type="dxa"/>
            <w:vAlign w:val="center"/>
          </w:tcPr>
          <w:p w14:paraId="023EF805" w14:textId="77777777" w:rsidR="00917780" w:rsidRPr="00D80E0F" w:rsidRDefault="00917780" w:rsidP="00F43901">
            <w:pPr>
              <w:pStyle w:val="BodyTextss"/>
              <w:numPr>
                <w:ilvl w:val="0"/>
                <w:numId w:val="22"/>
              </w:numPr>
              <w:spacing w:after="0"/>
              <w:ind w:left="431" w:hanging="431"/>
              <w:contextualSpacing/>
            </w:pPr>
            <w:r w:rsidRPr="00D80E0F">
              <w:t>Council considers adoption of background study and passage of by-law</w:t>
            </w:r>
          </w:p>
        </w:tc>
        <w:tc>
          <w:tcPr>
            <w:tcW w:w="4675" w:type="dxa"/>
            <w:vAlign w:val="center"/>
          </w:tcPr>
          <w:p w14:paraId="44BD7902" w14:textId="798BCF65" w:rsidR="00917780" w:rsidRPr="00D80E0F" w:rsidRDefault="004F70E1" w:rsidP="00507049">
            <w:pPr>
              <w:pStyle w:val="BodyTextss"/>
              <w:spacing w:after="0"/>
              <w:contextualSpacing/>
              <w:cnfStyle w:val="000000000000" w:firstRow="0" w:lastRow="0" w:firstColumn="0" w:lastColumn="0" w:oddVBand="0" w:evenVBand="0" w:oddHBand="0" w:evenHBand="0" w:firstRowFirstColumn="0" w:firstRowLastColumn="0" w:lastRowFirstColumn="0" w:lastRowLastColumn="0"/>
            </w:pPr>
            <w:r>
              <w:t>May 14</w:t>
            </w:r>
            <w:r w:rsidR="00BE3AA4">
              <w:t>, 202</w:t>
            </w:r>
            <w:r w:rsidR="00F43901">
              <w:t>4</w:t>
            </w:r>
          </w:p>
        </w:tc>
      </w:tr>
      <w:tr w:rsidR="00917780" w:rsidRPr="00D80E0F" w14:paraId="0621EA55" w14:textId="77777777" w:rsidTr="00FC0B89">
        <w:tc>
          <w:tcPr>
            <w:cnfStyle w:val="001000000000" w:firstRow="0" w:lastRow="0" w:firstColumn="1" w:lastColumn="0" w:oddVBand="0" w:evenVBand="0" w:oddHBand="0" w:evenHBand="0" w:firstRowFirstColumn="0" w:firstRowLastColumn="0" w:lastRowFirstColumn="0" w:lastRowLastColumn="0"/>
            <w:tcW w:w="4675" w:type="dxa"/>
            <w:vAlign w:val="center"/>
          </w:tcPr>
          <w:p w14:paraId="07557372" w14:textId="77777777" w:rsidR="00917780" w:rsidRPr="00D80E0F" w:rsidRDefault="00917780" w:rsidP="00F43901">
            <w:pPr>
              <w:pStyle w:val="BodyTextss"/>
              <w:numPr>
                <w:ilvl w:val="0"/>
                <w:numId w:val="22"/>
              </w:numPr>
              <w:spacing w:after="0"/>
              <w:ind w:left="431" w:hanging="431"/>
              <w:contextualSpacing/>
            </w:pPr>
            <w:r w:rsidRPr="00D80E0F">
              <w:t>Newspaper notice given of by-law passage</w:t>
            </w:r>
          </w:p>
        </w:tc>
        <w:tc>
          <w:tcPr>
            <w:tcW w:w="4675" w:type="dxa"/>
            <w:vAlign w:val="center"/>
          </w:tcPr>
          <w:p w14:paraId="743A92E2" w14:textId="77777777" w:rsidR="00917780" w:rsidRPr="00D80E0F" w:rsidRDefault="00917780" w:rsidP="00507049">
            <w:pPr>
              <w:pStyle w:val="BodyTextss"/>
              <w:spacing w:after="0"/>
              <w:contextualSpacing/>
              <w:cnfStyle w:val="000000000000" w:firstRow="0" w:lastRow="0" w:firstColumn="0" w:lastColumn="0" w:oddVBand="0" w:evenVBand="0" w:oddHBand="0" w:evenHBand="0" w:firstRowFirstColumn="0" w:firstRowLastColumn="0" w:lastRowFirstColumn="0" w:lastRowLastColumn="0"/>
            </w:pPr>
            <w:r w:rsidRPr="00D80E0F">
              <w:t>By 20 days after passage</w:t>
            </w:r>
          </w:p>
        </w:tc>
      </w:tr>
      <w:tr w:rsidR="00917780" w:rsidRPr="00D80E0F" w14:paraId="4836FE61" w14:textId="77777777" w:rsidTr="00FC0B89">
        <w:tc>
          <w:tcPr>
            <w:cnfStyle w:val="001000000000" w:firstRow="0" w:lastRow="0" w:firstColumn="1" w:lastColumn="0" w:oddVBand="0" w:evenVBand="0" w:oddHBand="0" w:evenHBand="0" w:firstRowFirstColumn="0" w:firstRowLastColumn="0" w:lastRowFirstColumn="0" w:lastRowLastColumn="0"/>
            <w:tcW w:w="4675" w:type="dxa"/>
            <w:vAlign w:val="center"/>
          </w:tcPr>
          <w:p w14:paraId="5E2766AA" w14:textId="77777777" w:rsidR="00917780" w:rsidRPr="00D80E0F" w:rsidRDefault="00917780" w:rsidP="00F43901">
            <w:pPr>
              <w:pStyle w:val="BodyTextss"/>
              <w:numPr>
                <w:ilvl w:val="0"/>
                <w:numId w:val="22"/>
              </w:numPr>
              <w:spacing w:after="0"/>
              <w:ind w:left="431" w:hanging="431"/>
              <w:contextualSpacing/>
            </w:pPr>
            <w:r w:rsidRPr="00D80E0F">
              <w:t>Last day for by-law appeal</w:t>
            </w:r>
          </w:p>
        </w:tc>
        <w:tc>
          <w:tcPr>
            <w:tcW w:w="4675" w:type="dxa"/>
            <w:vAlign w:val="center"/>
          </w:tcPr>
          <w:p w14:paraId="289A72E8" w14:textId="77777777" w:rsidR="00917780" w:rsidRPr="00D80E0F" w:rsidRDefault="00917780" w:rsidP="00507049">
            <w:pPr>
              <w:pStyle w:val="BodyTextss"/>
              <w:spacing w:after="0"/>
              <w:contextualSpacing/>
              <w:cnfStyle w:val="000000000000" w:firstRow="0" w:lastRow="0" w:firstColumn="0" w:lastColumn="0" w:oddVBand="0" w:evenVBand="0" w:oddHBand="0" w:evenHBand="0" w:firstRowFirstColumn="0" w:firstRowLastColumn="0" w:lastRowFirstColumn="0" w:lastRowLastColumn="0"/>
            </w:pPr>
            <w:r w:rsidRPr="00D80E0F">
              <w:t>40 days after passage</w:t>
            </w:r>
          </w:p>
        </w:tc>
      </w:tr>
      <w:tr w:rsidR="00917780" w14:paraId="3664E1D9" w14:textId="77777777" w:rsidTr="00FC0B89">
        <w:tc>
          <w:tcPr>
            <w:cnfStyle w:val="001000000000" w:firstRow="0" w:lastRow="0" w:firstColumn="1" w:lastColumn="0" w:oddVBand="0" w:evenVBand="0" w:oddHBand="0" w:evenHBand="0" w:firstRowFirstColumn="0" w:firstRowLastColumn="0" w:lastRowFirstColumn="0" w:lastRowLastColumn="0"/>
            <w:tcW w:w="4675" w:type="dxa"/>
            <w:vAlign w:val="center"/>
          </w:tcPr>
          <w:p w14:paraId="00C9AFC0" w14:textId="55E9D4E8" w:rsidR="00917780" w:rsidRPr="00D80E0F" w:rsidRDefault="00A1355F" w:rsidP="00F43901">
            <w:pPr>
              <w:pStyle w:val="BodyTextss"/>
              <w:numPr>
                <w:ilvl w:val="0"/>
                <w:numId w:val="22"/>
              </w:numPr>
              <w:spacing w:after="0"/>
              <w:ind w:left="431" w:hanging="431"/>
              <w:contextualSpacing/>
            </w:pPr>
            <w:r w:rsidRPr="00D80E0F">
              <w:t>City</w:t>
            </w:r>
            <w:r w:rsidR="00917780" w:rsidRPr="00D80E0F">
              <w:t xml:space="preserve"> makes pamphlet available (where by-law not appealed)</w:t>
            </w:r>
          </w:p>
        </w:tc>
        <w:tc>
          <w:tcPr>
            <w:tcW w:w="4675" w:type="dxa"/>
            <w:vAlign w:val="center"/>
          </w:tcPr>
          <w:p w14:paraId="54680A6D" w14:textId="77777777" w:rsidR="00917780" w:rsidRPr="009B301B" w:rsidRDefault="00917780" w:rsidP="00507049">
            <w:pPr>
              <w:pStyle w:val="BodyTextss"/>
              <w:spacing w:after="0"/>
              <w:contextualSpacing/>
              <w:cnfStyle w:val="000000000000" w:firstRow="0" w:lastRow="0" w:firstColumn="0" w:lastColumn="0" w:oddVBand="0" w:evenVBand="0" w:oddHBand="0" w:evenHBand="0" w:firstRowFirstColumn="0" w:firstRowLastColumn="0" w:lastRowFirstColumn="0" w:lastRowLastColumn="0"/>
            </w:pPr>
            <w:r w:rsidRPr="00D80E0F">
              <w:t>By 60 days after in force date</w:t>
            </w:r>
          </w:p>
        </w:tc>
      </w:tr>
    </w:tbl>
    <w:p w14:paraId="44211014" w14:textId="48BE4D50" w:rsidR="00551A91" w:rsidRPr="00717827" w:rsidRDefault="00551A91" w:rsidP="00B16524">
      <w:pPr>
        <w:pStyle w:val="Heading2"/>
        <w:numPr>
          <w:ilvl w:val="1"/>
          <w:numId w:val="3"/>
        </w:numPr>
      </w:pPr>
      <w:bookmarkStart w:id="25" w:name="_Toc416186940"/>
      <w:bookmarkStart w:id="26" w:name="_Toc458085846"/>
      <w:bookmarkStart w:id="27" w:name="_Toc494292963"/>
      <w:bookmarkStart w:id="28" w:name="_Toc520300695"/>
      <w:bookmarkStart w:id="29" w:name="_Toc520822891"/>
      <w:bookmarkStart w:id="30" w:name="_Toc520910936"/>
      <w:bookmarkStart w:id="31" w:name="_Toc520911317"/>
      <w:bookmarkStart w:id="32" w:name="_Toc154068727"/>
      <w:r w:rsidRPr="00717827">
        <w:lastRenderedPageBreak/>
        <w:t xml:space="preserve">Changes to the </w:t>
      </w:r>
      <w:r>
        <w:t>D.C.A.</w:t>
      </w:r>
      <w:r w:rsidRPr="00717827">
        <w:t>:  Bill</w:t>
      </w:r>
      <w:r w:rsidR="00E36D2B">
        <w:t>s</w:t>
      </w:r>
      <w:r w:rsidRPr="00717827">
        <w:t xml:space="preserve"> </w:t>
      </w:r>
      <w:bookmarkEnd w:id="25"/>
      <w:bookmarkEnd w:id="26"/>
      <w:bookmarkEnd w:id="27"/>
      <w:bookmarkEnd w:id="28"/>
      <w:bookmarkEnd w:id="29"/>
      <w:bookmarkEnd w:id="30"/>
      <w:bookmarkEnd w:id="31"/>
      <w:r w:rsidR="00E36D2B">
        <w:t>108, 138, 197, 213, and 109</w:t>
      </w:r>
      <w:bookmarkEnd w:id="32"/>
    </w:p>
    <w:p w14:paraId="231B87F9" w14:textId="28764CB2" w:rsidR="00551A91" w:rsidRPr="00717827" w:rsidRDefault="00732F2B" w:rsidP="00B16524">
      <w:pPr>
        <w:pStyle w:val="Heading3"/>
        <w:numPr>
          <w:ilvl w:val="2"/>
          <w:numId w:val="3"/>
        </w:numPr>
      </w:pPr>
      <w:bookmarkStart w:id="33" w:name="_Toc154068728"/>
      <w:r>
        <w:t>Bill 108: More Homes, More Choice Act – An Act to Amend Various Statutes with Respect to Housing, Other Development, and Various Matters</w:t>
      </w:r>
      <w:bookmarkEnd w:id="33"/>
    </w:p>
    <w:p w14:paraId="723C0DA8" w14:textId="4FA4F426" w:rsidR="00551A91" w:rsidRDefault="00732F2B" w:rsidP="00551A91">
      <w:pPr>
        <w:pStyle w:val="BodyText125"/>
      </w:pPr>
      <w:r w:rsidRPr="00732F2B">
        <w:t>On May 2, 2019, the Province introduced Bill 108, which proposed changes to the D.C.A.  The Bill has been introduced as part of the Province’s “More Homes, More Choice:  Ontario's Housing Supply Action Plan.”   The Bill received Royal Assent on June 6, 2019.</w:t>
      </w:r>
    </w:p>
    <w:p w14:paraId="06372C0D" w14:textId="738E68D2" w:rsidR="00732F2B" w:rsidRDefault="00732F2B" w:rsidP="00551A91">
      <w:pPr>
        <w:pStyle w:val="BodyText125"/>
      </w:pPr>
      <w:r w:rsidRPr="00732F2B">
        <w:t>While having received royal assent, many of the amendments to the D.C.A. would not come into effect until they are proclaimed by the Lieutenant Governor (many of these changes were revised through Bill 197). At the time of writing, the following provisions have been proclaimed:</w:t>
      </w:r>
    </w:p>
    <w:p w14:paraId="15FC60E1" w14:textId="5629CC4E" w:rsidR="00732F2B" w:rsidRDefault="00732F2B" w:rsidP="00732F2B">
      <w:pPr>
        <w:pStyle w:val="BodyTextbullets125"/>
      </w:pPr>
      <w:r>
        <w:t>Effective January 1, 2020, rental housing and institutional developments will pay D.C.s in six equal annual payments commencing at occupancy.  Non-profit housing developments will pay D.C.s in 21 equal annual payments</w:t>
      </w:r>
      <w:r w:rsidR="00BE3AA4">
        <w:t xml:space="preserve"> (note, Non-profit housing developments are now exempt as per Bill 23)</w:t>
      </w:r>
      <w:r>
        <w:t xml:space="preserve">.  Interest may be charged on the </w:t>
      </w:r>
      <w:r w:rsidR="002B4CD3">
        <w:t>installment</w:t>
      </w:r>
      <w:r>
        <w:t>s, and any unpaid amounts may be added to the property and collected as taxes.</w:t>
      </w:r>
    </w:p>
    <w:p w14:paraId="39584058" w14:textId="7EF85A87" w:rsidR="00732F2B" w:rsidRDefault="00732F2B" w:rsidP="00732F2B">
      <w:pPr>
        <w:pStyle w:val="BodyTextbullets125"/>
      </w:pPr>
      <w:r>
        <w:t>Effective January 1, 2020 the D.C. amount for all developments occurring within 2 years of a Site Plan or Zoning By-law Amendment planning approval (for application submitted after this section is proclaimed), shall be determined based on the D.C. in effect on the day of Site Plan or Zoning By-law Amendment application. If the development is not proceeding via these planning approvals, then the amount is determined the earlier of the date of issuance of a building permit.</w:t>
      </w:r>
    </w:p>
    <w:p w14:paraId="18B5F4E4" w14:textId="041C1BB6" w:rsidR="00732F2B" w:rsidRDefault="00732F2B" w:rsidP="00732F2B">
      <w:pPr>
        <w:pStyle w:val="BodyText125"/>
      </w:pPr>
      <w:r w:rsidRPr="00732F2B">
        <w:t>On February 28, 2020, the Province released updated draft regulations related to the D.C.A. and the Planning Act.  A summary of these changes to take effect upon proclamation by the Lieutenant Governor is provided below</w:t>
      </w:r>
      <w:r>
        <w:t>:</w:t>
      </w:r>
    </w:p>
    <w:p w14:paraId="0D6D812F" w14:textId="77777777" w:rsidR="00732F2B" w:rsidRDefault="00732F2B" w:rsidP="00732F2B">
      <w:pPr>
        <w:pStyle w:val="BodyText125"/>
      </w:pPr>
      <w:r w:rsidRPr="00732F2B">
        <w:rPr>
          <w:b/>
          <w:bCs/>
        </w:rPr>
        <w:t>Changes to Eligible Services</w:t>
      </w:r>
      <w:r>
        <w:t xml:space="preserve"> – Prior to Bill 108, the D.C.A. provided a list of ineligible services whereby municipalities could include growth related costs for any service that was not listed.  With Bill 108, the changes to the D.C.A. would now specifically list the </w:t>
      </w:r>
      <w:r>
        <w:lastRenderedPageBreak/>
        <w:t>services that are eligible for inclusion in the by-law. Further, the initial list of eligible services under Bill 108 was limited to “hard services”, with the “soft services” being removed from the D.C.A. These services would be considered as part of a new community benefits charge (discussed below) imposed under the Planning Act. As noted in the next section this list of services has been amended through Bill 197.</w:t>
      </w:r>
    </w:p>
    <w:p w14:paraId="3D018F7D" w14:textId="77777777" w:rsidR="00732F2B" w:rsidRDefault="00732F2B" w:rsidP="00732F2B">
      <w:pPr>
        <w:pStyle w:val="BodyText125"/>
      </w:pPr>
      <w:r w:rsidRPr="00732F2B">
        <w:rPr>
          <w:b/>
          <w:bCs/>
        </w:rPr>
        <w:t>Mandatory 10% deduction</w:t>
      </w:r>
      <w:r>
        <w:t xml:space="preserve"> – The amending legislation would remove the mandatory 10% deduction for all services that remain eligible under the D.C.A.</w:t>
      </w:r>
    </w:p>
    <w:p w14:paraId="455FB5A3" w14:textId="60D92F2F" w:rsidR="00732F2B" w:rsidRPr="00717827" w:rsidRDefault="00732F2B" w:rsidP="00732F2B">
      <w:pPr>
        <w:pStyle w:val="BodyText125"/>
      </w:pPr>
      <w:r w:rsidRPr="00732F2B">
        <w:rPr>
          <w:b/>
          <w:bCs/>
        </w:rPr>
        <w:t>Remaining Services to be Included in a New Community Benefits Charge (C.B.C.) Under the Planning Act</w:t>
      </w:r>
      <w:r>
        <w:t xml:space="preserve"> – It is proposed that a municipality may, by by-law, impose a C.B.C. against land to pay for the capital costs of facilities, services and matters required because of development or redevelopment in the area to which the by-law applies.  The C.B.C. was proposed to include formerly eligible D.C. services that are not included in the above listing, in addition to parkland dedication and bonus zoning contributions.</w:t>
      </w:r>
    </w:p>
    <w:p w14:paraId="4856C570" w14:textId="591EBCAC" w:rsidR="00551A91" w:rsidRPr="00717827" w:rsidRDefault="00732F2B" w:rsidP="00B16524">
      <w:pPr>
        <w:pStyle w:val="Heading3"/>
        <w:numPr>
          <w:ilvl w:val="2"/>
          <w:numId w:val="3"/>
        </w:numPr>
      </w:pPr>
      <w:bookmarkStart w:id="34" w:name="_Toc154068729"/>
      <w:r>
        <w:t>Bill 138: Plan to Build Ontario Together Act, 2019</w:t>
      </w:r>
      <w:bookmarkEnd w:id="34"/>
    </w:p>
    <w:p w14:paraId="43E12B0F" w14:textId="50C6BCE9" w:rsidR="00551A91" w:rsidRPr="00717827" w:rsidRDefault="00732F2B" w:rsidP="00551A91">
      <w:pPr>
        <w:pStyle w:val="BodyText125"/>
      </w:pPr>
      <w:r w:rsidRPr="00732F2B">
        <w:t xml:space="preserve">On November 6, 2019, the Province release Bill 138 which provided further amendments to the D.C.A. and Planning Act.  This Bill received Royal Assent on December 10, 2019, and was proclaimed which resulted in sections related to the D.C.A. (schedule 10) becoming effective on January 1, 2020.  The amendments to the D.C.A. included removal of </w:t>
      </w:r>
      <w:r w:rsidR="002B4CD3">
        <w:t>installment</w:t>
      </w:r>
      <w:r w:rsidRPr="00732F2B">
        <w:t xml:space="preserve"> payments for commercial and industrial developments that were originally included in Bill 108</w:t>
      </w:r>
      <w:r w:rsidR="00551A91" w:rsidRPr="00717827">
        <w:t>.</w:t>
      </w:r>
    </w:p>
    <w:p w14:paraId="303DC254" w14:textId="5CAEA5B6" w:rsidR="00551A91" w:rsidRPr="00717827" w:rsidRDefault="00732F2B" w:rsidP="00B16524">
      <w:pPr>
        <w:pStyle w:val="Heading3"/>
        <w:numPr>
          <w:ilvl w:val="2"/>
          <w:numId w:val="3"/>
        </w:numPr>
      </w:pPr>
      <w:bookmarkStart w:id="35" w:name="_Toc154068730"/>
      <w:r>
        <w:t>Bill 197: COVID-19 Economic Recovery Act, 2020</w:t>
      </w:r>
      <w:bookmarkEnd w:id="35"/>
    </w:p>
    <w:p w14:paraId="4C54EF39" w14:textId="69059751" w:rsidR="00551A91" w:rsidRDefault="00732F2B" w:rsidP="00551A91">
      <w:pPr>
        <w:pStyle w:val="BodyText125"/>
      </w:pPr>
      <w:r w:rsidRPr="00732F2B">
        <w:t>In response to the global pandemic that began affecting Ontario in early 2020, the Province released Bill 197 which provided amendments to a number of Acts, including the D.C.A. and Planning Act.  This Bill also revised some of the proposed changes identified in Bill 108.  Bill 197 was tabled on July 8, 2020, received Royal Assent on July 21, 2020, and was proclaimed on September 18, 2020.  The following provides a summary of the changes</w:t>
      </w:r>
      <w:r>
        <w:t>:</w:t>
      </w:r>
    </w:p>
    <w:p w14:paraId="168AEFA5" w14:textId="1414A120" w:rsidR="00E244D2" w:rsidRDefault="00E244D2" w:rsidP="00E244D2">
      <w:pPr>
        <w:pStyle w:val="Heading4"/>
      </w:pPr>
      <w:r>
        <w:t>D.C.-Related Changes</w:t>
      </w:r>
    </w:p>
    <w:p w14:paraId="7675F3EE" w14:textId="3EDEA4FE" w:rsidR="00E244D2" w:rsidRDefault="00E244D2" w:rsidP="00E244D2">
      <w:pPr>
        <w:pStyle w:val="BodyText125"/>
        <w:rPr>
          <w:u w:val="single"/>
          <w:lang w:eastAsia="ja-JP"/>
        </w:rPr>
      </w:pPr>
      <w:r>
        <w:rPr>
          <w:u w:val="single"/>
          <w:lang w:eastAsia="ja-JP"/>
        </w:rPr>
        <w:t>List of D.C.-Eligible Services</w:t>
      </w:r>
    </w:p>
    <w:p w14:paraId="2A195AEA" w14:textId="77777777" w:rsidR="007206B5" w:rsidRDefault="007206B5" w:rsidP="007206B5">
      <w:pPr>
        <w:pStyle w:val="BodyTextbullets125"/>
        <w:rPr>
          <w:lang w:eastAsia="ja-JP"/>
        </w:rPr>
      </w:pPr>
      <w:r>
        <w:rPr>
          <w:lang w:eastAsia="ja-JP"/>
        </w:rPr>
        <w:lastRenderedPageBreak/>
        <w:t>As noted above, under Bill 108 some services were to be included under the D.C.A. and some would be included under the C.B.C. authority.  Bill 197, however, revised this proposed change and has included all services (with some exceptions) under the D.C.A.  These services are as follows:</w:t>
      </w:r>
    </w:p>
    <w:p w14:paraId="29C18ADE" w14:textId="77777777" w:rsidR="007206B5" w:rsidRDefault="007206B5" w:rsidP="007206B5">
      <w:pPr>
        <w:pStyle w:val="BodyTextbullets125"/>
        <w:numPr>
          <w:ilvl w:val="1"/>
          <w:numId w:val="1"/>
        </w:numPr>
        <w:rPr>
          <w:lang w:eastAsia="ja-JP"/>
        </w:rPr>
      </w:pPr>
      <w:r>
        <w:rPr>
          <w:lang w:eastAsia="ja-JP"/>
        </w:rPr>
        <w:t xml:space="preserve">Water supply services, including distribution and treatment services;  </w:t>
      </w:r>
    </w:p>
    <w:p w14:paraId="00F9218C" w14:textId="77777777" w:rsidR="007206B5" w:rsidRDefault="007206B5" w:rsidP="007206B5">
      <w:pPr>
        <w:pStyle w:val="BodyTextbullets125"/>
        <w:numPr>
          <w:ilvl w:val="1"/>
          <w:numId w:val="1"/>
        </w:numPr>
        <w:rPr>
          <w:lang w:eastAsia="ja-JP"/>
        </w:rPr>
      </w:pPr>
      <w:r>
        <w:rPr>
          <w:lang w:eastAsia="ja-JP"/>
        </w:rPr>
        <w:t>Wastewater services, including sewers and treatment services.</w:t>
      </w:r>
    </w:p>
    <w:p w14:paraId="7088A27E" w14:textId="36696E25" w:rsidR="007206B5" w:rsidRDefault="007206B5" w:rsidP="007206B5">
      <w:pPr>
        <w:pStyle w:val="BodyTextbullets125"/>
        <w:numPr>
          <w:ilvl w:val="1"/>
          <w:numId w:val="1"/>
        </w:numPr>
        <w:rPr>
          <w:lang w:eastAsia="ja-JP"/>
        </w:rPr>
      </w:pPr>
      <w:r>
        <w:rPr>
          <w:lang w:eastAsia="ja-JP"/>
        </w:rPr>
        <w:t>Stormwater drainage and control services.</w:t>
      </w:r>
    </w:p>
    <w:p w14:paraId="44CEA32D" w14:textId="77777777" w:rsidR="007206B5" w:rsidRDefault="007206B5" w:rsidP="007206B5">
      <w:pPr>
        <w:pStyle w:val="BodyTextbullets125"/>
        <w:numPr>
          <w:ilvl w:val="1"/>
          <w:numId w:val="1"/>
        </w:numPr>
        <w:rPr>
          <w:lang w:eastAsia="ja-JP"/>
        </w:rPr>
      </w:pPr>
      <w:r>
        <w:rPr>
          <w:lang w:eastAsia="ja-JP"/>
        </w:rPr>
        <w:t>Services related to a highway.</w:t>
      </w:r>
    </w:p>
    <w:p w14:paraId="4656CDD7" w14:textId="77777777" w:rsidR="007206B5" w:rsidRDefault="007206B5" w:rsidP="007206B5">
      <w:pPr>
        <w:pStyle w:val="BodyTextbullets125"/>
        <w:numPr>
          <w:ilvl w:val="1"/>
          <w:numId w:val="1"/>
        </w:numPr>
        <w:rPr>
          <w:lang w:eastAsia="ja-JP"/>
        </w:rPr>
      </w:pPr>
      <w:r>
        <w:rPr>
          <w:lang w:eastAsia="ja-JP"/>
        </w:rPr>
        <w:t>Electrical power services.</w:t>
      </w:r>
    </w:p>
    <w:p w14:paraId="0B237871" w14:textId="77777777" w:rsidR="007206B5" w:rsidRDefault="007206B5" w:rsidP="007206B5">
      <w:pPr>
        <w:pStyle w:val="BodyTextbullets125"/>
        <w:numPr>
          <w:ilvl w:val="1"/>
          <w:numId w:val="1"/>
        </w:numPr>
        <w:rPr>
          <w:lang w:eastAsia="ja-JP"/>
        </w:rPr>
      </w:pPr>
      <w:r>
        <w:rPr>
          <w:lang w:eastAsia="ja-JP"/>
        </w:rPr>
        <w:t>Toronto-York subway extension.</w:t>
      </w:r>
    </w:p>
    <w:p w14:paraId="6AD03787" w14:textId="77777777" w:rsidR="007206B5" w:rsidRDefault="007206B5" w:rsidP="007206B5">
      <w:pPr>
        <w:pStyle w:val="BodyTextbullets125"/>
        <w:numPr>
          <w:ilvl w:val="1"/>
          <w:numId w:val="1"/>
        </w:numPr>
        <w:rPr>
          <w:lang w:eastAsia="ja-JP"/>
        </w:rPr>
      </w:pPr>
      <w:r>
        <w:rPr>
          <w:lang w:eastAsia="ja-JP"/>
        </w:rPr>
        <w:t>Transit services.</w:t>
      </w:r>
    </w:p>
    <w:p w14:paraId="50EF23E3" w14:textId="77777777" w:rsidR="007206B5" w:rsidRDefault="007206B5" w:rsidP="007206B5">
      <w:pPr>
        <w:pStyle w:val="BodyTextbullets125"/>
        <w:numPr>
          <w:ilvl w:val="1"/>
          <w:numId w:val="1"/>
        </w:numPr>
        <w:rPr>
          <w:lang w:eastAsia="ja-JP"/>
        </w:rPr>
      </w:pPr>
      <w:r>
        <w:rPr>
          <w:lang w:eastAsia="ja-JP"/>
        </w:rPr>
        <w:t>Waste diversion services.</w:t>
      </w:r>
    </w:p>
    <w:p w14:paraId="0140A066" w14:textId="77777777" w:rsidR="007206B5" w:rsidRDefault="007206B5" w:rsidP="007206B5">
      <w:pPr>
        <w:pStyle w:val="BodyTextbullets125"/>
        <w:numPr>
          <w:ilvl w:val="1"/>
          <w:numId w:val="1"/>
        </w:numPr>
        <w:rPr>
          <w:lang w:eastAsia="ja-JP"/>
        </w:rPr>
      </w:pPr>
      <w:r>
        <w:rPr>
          <w:lang w:eastAsia="ja-JP"/>
        </w:rPr>
        <w:t>Policing services.</w:t>
      </w:r>
    </w:p>
    <w:p w14:paraId="27560FDF" w14:textId="77777777" w:rsidR="007206B5" w:rsidRDefault="007206B5" w:rsidP="007206B5">
      <w:pPr>
        <w:pStyle w:val="BodyTextbullets125"/>
        <w:numPr>
          <w:ilvl w:val="1"/>
          <w:numId w:val="1"/>
        </w:numPr>
        <w:rPr>
          <w:lang w:eastAsia="ja-JP"/>
        </w:rPr>
      </w:pPr>
      <w:r>
        <w:rPr>
          <w:lang w:eastAsia="ja-JP"/>
        </w:rPr>
        <w:t>Fire protection services.</w:t>
      </w:r>
    </w:p>
    <w:p w14:paraId="2BAB94F0" w14:textId="77777777" w:rsidR="007206B5" w:rsidRDefault="007206B5" w:rsidP="007206B5">
      <w:pPr>
        <w:pStyle w:val="BodyTextbullets125"/>
        <w:numPr>
          <w:ilvl w:val="1"/>
          <w:numId w:val="1"/>
        </w:numPr>
        <w:rPr>
          <w:lang w:eastAsia="ja-JP"/>
        </w:rPr>
      </w:pPr>
      <w:r>
        <w:rPr>
          <w:lang w:eastAsia="ja-JP"/>
        </w:rPr>
        <w:t>Ambulance services.</w:t>
      </w:r>
    </w:p>
    <w:p w14:paraId="707D7FA2" w14:textId="77777777" w:rsidR="007206B5" w:rsidRDefault="007206B5" w:rsidP="007206B5">
      <w:pPr>
        <w:pStyle w:val="BodyTextbullets125"/>
        <w:numPr>
          <w:ilvl w:val="1"/>
          <w:numId w:val="1"/>
        </w:numPr>
        <w:rPr>
          <w:lang w:eastAsia="ja-JP"/>
        </w:rPr>
      </w:pPr>
      <w:r>
        <w:rPr>
          <w:lang w:eastAsia="ja-JP"/>
        </w:rPr>
        <w:t>Library services.</w:t>
      </w:r>
    </w:p>
    <w:p w14:paraId="19965424" w14:textId="77777777" w:rsidR="007206B5" w:rsidRDefault="007206B5" w:rsidP="007206B5">
      <w:pPr>
        <w:pStyle w:val="BodyTextbullets125"/>
        <w:numPr>
          <w:ilvl w:val="1"/>
          <w:numId w:val="1"/>
        </w:numPr>
        <w:rPr>
          <w:lang w:eastAsia="ja-JP"/>
        </w:rPr>
      </w:pPr>
      <w:r>
        <w:rPr>
          <w:lang w:eastAsia="ja-JP"/>
        </w:rPr>
        <w:t>Long-term Care services</w:t>
      </w:r>
    </w:p>
    <w:p w14:paraId="3726A2B3" w14:textId="77777777" w:rsidR="007206B5" w:rsidRDefault="007206B5" w:rsidP="007206B5">
      <w:pPr>
        <w:pStyle w:val="BodyTextbullets125"/>
        <w:numPr>
          <w:ilvl w:val="1"/>
          <w:numId w:val="1"/>
        </w:numPr>
        <w:rPr>
          <w:lang w:eastAsia="ja-JP"/>
        </w:rPr>
      </w:pPr>
      <w:r>
        <w:rPr>
          <w:lang w:eastAsia="ja-JP"/>
        </w:rPr>
        <w:t>Parks and Recreation services, but not the acquisition of land for parks.</w:t>
      </w:r>
    </w:p>
    <w:p w14:paraId="603C7AA7" w14:textId="77777777" w:rsidR="007206B5" w:rsidRDefault="007206B5" w:rsidP="007206B5">
      <w:pPr>
        <w:pStyle w:val="BodyTextbullets125"/>
        <w:numPr>
          <w:ilvl w:val="1"/>
          <w:numId w:val="1"/>
        </w:numPr>
        <w:rPr>
          <w:lang w:eastAsia="ja-JP"/>
        </w:rPr>
      </w:pPr>
      <w:r>
        <w:rPr>
          <w:lang w:eastAsia="ja-JP"/>
        </w:rPr>
        <w:t>Public Health services.</w:t>
      </w:r>
    </w:p>
    <w:p w14:paraId="0B3A3967" w14:textId="77777777" w:rsidR="007206B5" w:rsidRDefault="007206B5" w:rsidP="007206B5">
      <w:pPr>
        <w:pStyle w:val="BodyTextbullets125"/>
        <w:numPr>
          <w:ilvl w:val="1"/>
          <w:numId w:val="1"/>
        </w:numPr>
        <w:rPr>
          <w:lang w:eastAsia="ja-JP"/>
        </w:rPr>
      </w:pPr>
      <w:r>
        <w:rPr>
          <w:lang w:eastAsia="ja-JP"/>
        </w:rPr>
        <w:t>Childcare and early years services.</w:t>
      </w:r>
    </w:p>
    <w:p w14:paraId="53B8EB00" w14:textId="0925A234" w:rsidR="007206B5" w:rsidRDefault="007206B5" w:rsidP="007206B5">
      <w:pPr>
        <w:pStyle w:val="BodyTextbullets125"/>
        <w:numPr>
          <w:ilvl w:val="1"/>
          <w:numId w:val="1"/>
        </w:numPr>
        <w:rPr>
          <w:lang w:eastAsia="ja-JP"/>
        </w:rPr>
      </w:pPr>
      <w:r>
        <w:rPr>
          <w:lang w:eastAsia="ja-JP"/>
        </w:rPr>
        <w:t>Housing services</w:t>
      </w:r>
      <w:r w:rsidR="00E41B30">
        <w:rPr>
          <w:lang w:eastAsia="ja-JP"/>
        </w:rPr>
        <w:t xml:space="preserve"> (no longer eligible as per Bill 23)</w:t>
      </w:r>
      <w:r>
        <w:rPr>
          <w:lang w:eastAsia="ja-JP"/>
        </w:rPr>
        <w:t>.</w:t>
      </w:r>
    </w:p>
    <w:p w14:paraId="781C3CE2" w14:textId="77777777" w:rsidR="007206B5" w:rsidRDefault="007206B5" w:rsidP="007206B5">
      <w:pPr>
        <w:pStyle w:val="BodyTextbullets125"/>
        <w:numPr>
          <w:ilvl w:val="1"/>
          <w:numId w:val="1"/>
        </w:numPr>
        <w:rPr>
          <w:lang w:eastAsia="ja-JP"/>
        </w:rPr>
      </w:pPr>
      <w:r>
        <w:rPr>
          <w:lang w:eastAsia="ja-JP"/>
        </w:rPr>
        <w:t>Provincial Offences Act services.</w:t>
      </w:r>
    </w:p>
    <w:p w14:paraId="6E589ACB" w14:textId="77777777" w:rsidR="007206B5" w:rsidRDefault="007206B5" w:rsidP="007206B5">
      <w:pPr>
        <w:pStyle w:val="BodyTextbullets125"/>
        <w:numPr>
          <w:ilvl w:val="1"/>
          <w:numId w:val="1"/>
        </w:numPr>
        <w:rPr>
          <w:lang w:eastAsia="ja-JP"/>
        </w:rPr>
      </w:pPr>
      <w:r>
        <w:rPr>
          <w:lang w:eastAsia="ja-JP"/>
        </w:rPr>
        <w:t>Services related to emergency preparedness.</w:t>
      </w:r>
    </w:p>
    <w:p w14:paraId="58373EC7" w14:textId="77777777" w:rsidR="007206B5" w:rsidRDefault="007206B5" w:rsidP="007206B5">
      <w:pPr>
        <w:pStyle w:val="BodyTextbullets125"/>
        <w:numPr>
          <w:ilvl w:val="1"/>
          <w:numId w:val="1"/>
        </w:numPr>
        <w:rPr>
          <w:lang w:eastAsia="ja-JP"/>
        </w:rPr>
      </w:pPr>
      <w:r>
        <w:rPr>
          <w:lang w:eastAsia="ja-JP"/>
        </w:rPr>
        <w:t>Services related to airports, but only in the Regional Municipality of Waterloo.</w:t>
      </w:r>
    </w:p>
    <w:p w14:paraId="7E6C84FE" w14:textId="08B4059C" w:rsidR="00E244D2" w:rsidRDefault="007206B5" w:rsidP="007206B5">
      <w:pPr>
        <w:pStyle w:val="BodyTextbullets125"/>
        <w:numPr>
          <w:ilvl w:val="1"/>
          <w:numId w:val="1"/>
        </w:numPr>
        <w:rPr>
          <w:lang w:eastAsia="ja-JP"/>
        </w:rPr>
      </w:pPr>
      <w:r>
        <w:rPr>
          <w:lang w:eastAsia="ja-JP"/>
        </w:rPr>
        <w:t>Additional services as prescribed.</w:t>
      </w:r>
    </w:p>
    <w:p w14:paraId="7D47E691" w14:textId="0EFB8942" w:rsidR="007206B5" w:rsidRDefault="007206B5" w:rsidP="007206B5">
      <w:pPr>
        <w:pStyle w:val="BodyText125"/>
        <w:rPr>
          <w:u w:val="single"/>
          <w:lang w:eastAsia="ja-JP"/>
        </w:rPr>
      </w:pPr>
      <w:r>
        <w:rPr>
          <w:u w:val="single"/>
          <w:lang w:eastAsia="ja-JP"/>
        </w:rPr>
        <w:t>Classes of Services – D.C.</w:t>
      </w:r>
    </w:p>
    <w:p w14:paraId="42A736AB" w14:textId="77777777" w:rsidR="007206B5" w:rsidRDefault="007206B5" w:rsidP="007206B5">
      <w:pPr>
        <w:pStyle w:val="BodyText125"/>
        <w:rPr>
          <w:lang w:eastAsia="ja-JP"/>
        </w:rPr>
      </w:pPr>
      <w:r>
        <w:rPr>
          <w:lang w:eastAsia="ja-JP"/>
        </w:rPr>
        <w:t>Pre-Bill 108/197 legislation (i.e., D.C.A., 1997) allowed for categories of services to be grouped together into a minimum of two categories (90% and 100% services).</w:t>
      </w:r>
    </w:p>
    <w:p w14:paraId="62CD642B" w14:textId="1FB4E387" w:rsidR="007206B5" w:rsidRDefault="007206B5" w:rsidP="007206B5">
      <w:pPr>
        <w:pStyle w:val="BodyText125"/>
        <w:rPr>
          <w:lang w:eastAsia="ja-JP"/>
        </w:rPr>
      </w:pPr>
      <w:r>
        <w:rPr>
          <w:lang w:eastAsia="ja-JP"/>
        </w:rPr>
        <w:t>The Act (as amended) repeals and replaces the above with the four</w:t>
      </w:r>
      <w:r w:rsidR="00E847A7">
        <w:rPr>
          <w:lang w:eastAsia="ja-JP"/>
        </w:rPr>
        <w:t xml:space="preserve"> (4)</w:t>
      </w:r>
      <w:r>
        <w:rPr>
          <w:lang w:eastAsia="ja-JP"/>
        </w:rPr>
        <w:t xml:space="preserve"> following subsections:</w:t>
      </w:r>
    </w:p>
    <w:p w14:paraId="303F026B" w14:textId="77777777" w:rsidR="007206B5" w:rsidRDefault="007206B5" w:rsidP="007206B5">
      <w:pPr>
        <w:pStyle w:val="BodyTextbullets125"/>
        <w:rPr>
          <w:lang w:eastAsia="ja-JP"/>
        </w:rPr>
      </w:pPr>
      <w:r>
        <w:rPr>
          <w:lang w:eastAsia="ja-JP"/>
        </w:rPr>
        <w:t>A D.C. by-law may provide for any eligible service or capital cost related to any eligible service to be included in a class, set out in the by-law.</w:t>
      </w:r>
    </w:p>
    <w:p w14:paraId="7C4C8C4C" w14:textId="77777777" w:rsidR="007206B5" w:rsidRDefault="007206B5" w:rsidP="007206B5">
      <w:pPr>
        <w:pStyle w:val="BodyTextbullets125"/>
        <w:rPr>
          <w:lang w:eastAsia="ja-JP"/>
        </w:rPr>
      </w:pPr>
      <w:r>
        <w:rPr>
          <w:lang w:eastAsia="ja-JP"/>
        </w:rPr>
        <w:lastRenderedPageBreak/>
        <w:t>A class may be composed of any number or combination of services and may include parts or portions of the eligible services or parts or portions of the capital costs in respect of those services.</w:t>
      </w:r>
    </w:p>
    <w:p w14:paraId="1FAF401D" w14:textId="77777777" w:rsidR="007206B5" w:rsidRDefault="007206B5" w:rsidP="007206B5">
      <w:pPr>
        <w:pStyle w:val="BodyTextbullets125"/>
        <w:rPr>
          <w:lang w:eastAsia="ja-JP"/>
        </w:rPr>
      </w:pPr>
      <w:r>
        <w:rPr>
          <w:lang w:eastAsia="ja-JP"/>
        </w:rPr>
        <w:t>A D.C. by-law may provide for a class consisting of studies in respect of any eligible service whose capital costs are described in paragraphs 5 and 6 of section 5 of the D.C.A.</w:t>
      </w:r>
    </w:p>
    <w:p w14:paraId="69C00C78" w14:textId="3C087F12" w:rsidR="007206B5" w:rsidRDefault="007206B5" w:rsidP="007206B5">
      <w:pPr>
        <w:pStyle w:val="BodyTextbullets125"/>
        <w:rPr>
          <w:lang w:eastAsia="ja-JP"/>
        </w:rPr>
      </w:pPr>
      <w:r>
        <w:rPr>
          <w:lang w:eastAsia="ja-JP"/>
        </w:rPr>
        <w:t>A class of service set out in the D.C. by-law is deemed to be a single service with respect to reserve funds, use of monies, and credits.</w:t>
      </w:r>
    </w:p>
    <w:p w14:paraId="2CFF971A" w14:textId="0F3489F7" w:rsidR="007206B5" w:rsidRDefault="007206B5" w:rsidP="007206B5">
      <w:pPr>
        <w:pStyle w:val="BodyText125"/>
        <w:rPr>
          <w:lang w:eastAsia="ja-JP"/>
        </w:rPr>
      </w:pPr>
      <w:r>
        <w:rPr>
          <w:lang w:eastAsia="ja-JP"/>
        </w:rPr>
        <w:t>Note:  An initial consideration of “class” appears to mean any group of services.</w:t>
      </w:r>
    </w:p>
    <w:p w14:paraId="6D9D7A2E" w14:textId="4D9B0309" w:rsidR="007206B5" w:rsidRDefault="007206B5" w:rsidP="007206B5">
      <w:pPr>
        <w:pStyle w:val="BodyText125"/>
        <w:rPr>
          <w:u w:val="single"/>
          <w:lang w:eastAsia="ja-JP"/>
        </w:rPr>
      </w:pPr>
      <w:r>
        <w:rPr>
          <w:u w:val="single"/>
          <w:lang w:eastAsia="ja-JP"/>
        </w:rPr>
        <w:t>Mandatory 10% Deduction</w:t>
      </w:r>
    </w:p>
    <w:p w14:paraId="76250B26" w14:textId="2548A370" w:rsidR="007206B5" w:rsidRDefault="007206B5" w:rsidP="007206B5">
      <w:pPr>
        <w:pStyle w:val="BodyText125"/>
        <w:rPr>
          <w:lang w:eastAsia="ja-JP"/>
        </w:rPr>
      </w:pPr>
      <w:r>
        <w:rPr>
          <w:lang w:eastAsia="ja-JP"/>
        </w:rPr>
        <w:t xml:space="preserve">As well, </w:t>
      </w:r>
      <w:r w:rsidRPr="007206B5">
        <w:rPr>
          <w:lang w:eastAsia="ja-JP"/>
        </w:rPr>
        <w:t>the removal of the 10% deduction for soft services under Bill 108 has been maintained</w:t>
      </w:r>
      <w:r>
        <w:rPr>
          <w:lang w:eastAsia="ja-JP"/>
        </w:rPr>
        <w:t>.</w:t>
      </w:r>
    </w:p>
    <w:p w14:paraId="1AA5EA57" w14:textId="40A36AC1" w:rsidR="00E41B30" w:rsidRDefault="00E41B30" w:rsidP="007206B5">
      <w:pPr>
        <w:pStyle w:val="BodyText125"/>
        <w:rPr>
          <w:lang w:eastAsia="ja-JP"/>
        </w:rPr>
      </w:pPr>
      <w:r w:rsidRPr="00E41B30">
        <w:rPr>
          <w:lang w:eastAsia="ja-JP"/>
        </w:rPr>
        <w:t>As a result of the passage of Bill 197, and subsequent proclamation on September 18, 2020, this report has provided the D.C. calculations without the 10% mandatory deduction</w:t>
      </w:r>
      <w:r>
        <w:rPr>
          <w:lang w:eastAsia="ja-JP"/>
        </w:rPr>
        <w:t>.</w:t>
      </w:r>
    </w:p>
    <w:p w14:paraId="6EB2C5F8" w14:textId="1EB7CD39" w:rsidR="007206B5" w:rsidRDefault="007206B5" w:rsidP="007206B5">
      <w:pPr>
        <w:pStyle w:val="Heading4"/>
      </w:pPr>
      <w:r>
        <w:t>C.B.C. Related Changes</w:t>
      </w:r>
    </w:p>
    <w:p w14:paraId="0C48C174" w14:textId="1B14BA26" w:rsidR="007206B5" w:rsidRDefault="007206B5" w:rsidP="007206B5">
      <w:pPr>
        <w:pStyle w:val="BodyText125"/>
        <w:rPr>
          <w:u w:val="single"/>
          <w:lang w:eastAsia="ja-JP"/>
        </w:rPr>
      </w:pPr>
      <w:r>
        <w:rPr>
          <w:u w:val="single"/>
          <w:lang w:eastAsia="ja-JP"/>
        </w:rPr>
        <w:t>C.B.C. Eligibility</w:t>
      </w:r>
    </w:p>
    <w:p w14:paraId="562861CA" w14:textId="77777777" w:rsidR="007206B5" w:rsidRDefault="007206B5" w:rsidP="007206B5">
      <w:pPr>
        <w:pStyle w:val="BodyTextbullets125"/>
        <w:rPr>
          <w:lang w:eastAsia="ja-JP"/>
        </w:rPr>
      </w:pPr>
      <w:r>
        <w:rPr>
          <w:lang w:eastAsia="ja-JP"/>
        </w:rPr>
        <w:t>The C.B.C. is limited to lower-tier and single tier municipalities, whereas upper-tier municipalities will not be allowed to impose this charge.</w:t>
      </w:r>
    </w:p>
    <w:p w14:paraId="053601C6" w14:textId="06F03BCC" w:rsidR="007206B5" w:rsidRDefault="007206B5" w:rsidP="007206B5">
      <w:pPr>
        <w:pStyle w:val="BodyTextbullets125"/>
        <w:rPr>
          <w:lang w:eastAsia="ja-JP"/>
        </w:rPr>
      </w:pPr>
      <w:r>
        <w:rPr>
          <w:lang w:eastAsia="ja-JP"/>
        </w:rPr>
        <w:t>O. Reg. 509/20 was filed on September 18, 2020.  This regulation provides for the following:</w:t>
      </w:r>
    </w:p>
    <w:p w14:paraId="02336DEA" w14:textId="77777777" w:rsidR="007206B5" w:rsidRDefault="007206B5" w:rsidP="007206B5">
      <w:pPr>
        <w:pStyle w:val="BodyTextbullets125"/>
        <w:numPr>
          <w:ilvl w:val="1"/>
          <w:numId w:val="1"/>
        </w:numPr>
        <w:rPr>
          <w:lang w:eastAsia="ja-JP"/>
        </w:rPr>
      </w:pPr>
      <w:r>
        <w:rPr>
          <w:lang w:eastAsia="ja-JP"/>
        </w:rPr>
        <w:t>A maximum rate will be set as a percentage of the market value of the land the day before building permit issuance.  The maximum rate is set at 4%.  The C.B.C may only be imposed on developing or redeveloping buildings which have a minimum height of five stories and contain no less than 10 residential units.</w:t>
      </w:r>
    </w:p>
    <w:p w14:paraId="0A0C5758" w14:textId="77777777" w:rsidR="007206B5" w:rsidRDefault="007206B5" w:rsidP="007206B5">
      <w:pPr>
        <w:pStyle w:val="BodyTextbullets125"/>
        <w:numPr>
          <w:ilvl w:val="1"/>
          <w:numId w:val="1"/>
        </w:numPr>
        <w:rPr>
          <w:lang w:eastAsia="ja-JP"/>
        </w:rPr>
      </w:pPr>
      <w:r>
        <w:rPr>
          <w:lang w:eastAsia="ja-JP"/>
        </w:rPr>
        <w:t>Bill 197 states that before passing a C.B.C. by-law, the municipality shall prepare a C.B.C. strategy that (a) identifies the facilities, services, and matters that will be funded with C.B.C.s; and (b) complies with any prescribed requirements.</w:t>
      </w:r>
    </w:p>
    <w:p w14:paraId="4932A7B2" w14:textId="0A3B121E" w:rsidR="007206B5" w:rsidRDefault="007206B5" w:rsidP="007206B5">
      <w:pPr>
        <w:pStyle w:val="BodyTextbullets125"/>
        <w:numPr>
          <w:ilvl w:val="1"/>
          <w:numId w:val="1"/>
        </w:numPr>
        <w:rPr>
          <w:lang w:eastAsia="ja-JP"/>
        </w:rPr>
      </w:pPr>
      <w:r>
        <w:rPr>
          <w:lang w:eastAsia="ja-JP"/>
        </w:rPr>
        <w:t>Only one C.B.C. by-law may be in effect in a local municipality at a time.</w:t>
      </w:r>
    </w:p>
    <w:p w14:paraId="1732B7A8" w14:textId="1D84E105" w:rsidR="007206B5" w:rsidRDefault="007206B5" w:rsidP="007206B5">
      <w:pPr>
        <w:pStyle w:val="Heading4"/>
      </w:pPr>
      <w:r>
        <w:lastRenderedPageBreak/>
        <w:t>Combined D.C. and C.B.C. Impacts</w:t>
      </w:r>
    </w:p>
    <w:p w14:paraId="0DB93C0F" w14:textId="4876AF79" w:rsidR="007206B5" w:rsidRDefault="007206B5" w:rsidP="007206B5">
      <w:pPr>
        <w:pStyle w:val="BodyText125"/>
        <w:rPr>
          <w:u w:val="single"/>
          <w:lang w:eastAsia="ja-JP"/>
        </w:rPr>
      </w:pPr>
      <w:r>
        <w:rPr>
          <w:u w:val="single"/>
          <w:lang w:eastAsia="ja-JP"/>
        </w:rPr>
        <w:t>D.C. vs. C.B.C. Capital Cost</w:t>
      </w:r>
    </w:p>
    <w:p w14:paraId="0C368D73" w14:textId="6614BC91" w:rsidR="007206B5" w:rsidRDefault="007206B5" w:rsidP="007206B5">
      <w:pPr>
        <w:pStyle w:val="BodyTextbullets125"/>
        <w:rPr>
          <w:lang w:eastAsia="ja-JP"/>
        </w:rPr>
      </w:pPr>
      <w:r w:rsidRPr="007206B5">
        <w:rPr>
          <w:lang w:eastAsia="ja-JP"/>
        </w:rPr>
        <w:t>A C.B.C. may be imposed with respect to the services listed in s. 2 (4) of the D.C.A. (eligible services), “provided that the capital costs that are intended to be funded by the community benefits charge are not capital costs that are intended to be funded under a development charge by-law.”</w:t>
      </w:r>
    </w:p>
    <w:p w14:paraId="4492FCFD" w14:textId="6A63BAFD" w:rsidR="007206B5" w:rsidRDefault="007206B5" w:rsidP="007206B5">
      <w:pPr>
        <w:pStyle w:val="BodyText125"/>
        <w:rPr>
          <w:u w:val="single"/>
          <w:lang w:eastAsia="ja-JP"/>
        </w:rPr>
      </w:pPr>
      <w:r>
        <w:rPr>
          <w:u w:val="single"/>
          <w:lang w:eastAsia="ja-JP"/>
        </w:rPr>
        <w:t>Transition – D.C. and C.B.C.</w:t>
      </w:r>
    </w:p>
    <w:p w14:paraId="45339F9F" w14:textId="77777777" w:rsidR="007206B5" w:rsidRDefault="007206B5" w:rsidP="007206B5">
      <w:pPr>
        <w:pStyle w:val="BodyTextbullets125"/>
        <w:rPr>
          <w:lang w:eastAsia="ja-JP"/>
        </w:rPr>
      </w:pPr>
      <w:r>
        <w:rPr>
          <w:lang w:eastAsia="ja-JP"/>
        </w:rPr>
        <w:t>The specified date for municipalities to transition to the D.C. and C.B.C. is two years after Schedules 3 and 17 of the COVID-19 Economic Recovery Act comes into force (i.e. September 18, 2022).</w:t>
      </w:r>
    </w:p>
    <w:p w14:paraId="0F095EBE" w14:textId="654775A0" w:rsidR="007206B5" w:rsidRDefault="007206B5" w:rsidP="007206B5">
      <w:pPr>
        <w:pStyle w:val="BodyTextbullets125"/>
        <w:rPr>
          <w:lang w:eastAsia="ja-JP"/>
        </w:rPr>
      </w:pPr>
      <w:r>
        <w:rPr>
          <w:lang w:eastAsia="ja-JP"/>
        </w:rPr>
        <w:t>Generally, for existing reserve funds (related to D.C. services that will be ineligible):</w:t>
      </w:r>
    </w:p>
    <w:p w14:paraId="545D8CED" w14:textId="77777777" w:rsidR="007206B5" w:rsidRDefault="007206B5" w:rsidP="007206B5">
      <w:pPr>
        <w:pStyle w:val="BodyTextbullets125"/>
        <w:numPr>
          <w:ilvl w:val="1"/>
          <w:numId w:val="1"/>
        </w:numPr>
        <w:rPr>
          <w:lang w:eastAsia="ja-JP"/>
        </w:rPr>
      </w:pPr>
      <w:r>
        <w:rPr>
          <w:lang w:eastAsia="ja-JP"/>
        </w:rPr>
        <w:t>If a C.B.C. is passed, the funds are transferred to the C.B.C. special account;</w:t>
      </w:r>
    </w:p>
    <w:p w14:paraId="23F454FD" w14:textId="77777777" w:rsidR="007206B5" w:rsidRDefault="007206B5" w:rsidP="007206B5">
      <w:pPr>
        <w:pStyle w:val="BodyTextbullets125"/>
        <w:numPr>
          <w:ilvl w:val="1"/>
          <w:numId w:val="1"/>
        </w:numPr>
        <w:rPr>
          <w:lang w:eastAsia="ja-JP"/>
        </w:rPr>
      </w:pPr>
      <w:r>
        <w:rPr>
          <w:lang w:eastAsia="ja-JP"/>
        </w:rPr>
        <w:t>If no C.B.C. is passed, the funds are moved to a general reserve fund for the same purpose;</w:t>
      </w:r>
    </w:p>
    <w:p w14:paraId="01785771" w14:textId="46E30559" w:rsidR="007206B5" w:rsidRDefault="007206B5" w:rsidP="007206B5">
      <w:pPr>
        <w:pStyle w:val="BodyTextbullets125"/>
        <w:numPr>
          <w:ilvl w:val="1"/>
          <w:numId w:val="1"/>
        </w:numPr>
        <w:rPr>
          <w:lang w:eastAsia="ja-JP"/>
        </w:rPr>
      </w:pPr>
      <w:r>
        <w:rPr>
          <w:lang w:eastAsia="ja-JP"/>
        </w:rPr>
        <w:t>If a C.B.C. is passed subsequent to moving funds to a general reserve fund, those monies are then moved again to the C.B.C. special account.</w:t>
      </w:r>
    </w:p>
    <w:p w14:paraId="0E510898" w14:textId="2652971A" w:rsidR="007206B5" w:rsidRDefault="007206B5" w:rsidP="007206B5">
      <w:pPr>
        <w:pStyle w:val="BodyTextbullets125"/>
        <w:rPr>
          <w:lang w:eastAsia="ja-JP"/>
        </w:rPr>
      </w:pPr>
      <w:r w:rsidRPr="007206B5">
        <w:rPr>
          <w:lang w:eastAsia="ja-JP"/>
        </w:rPr>
        <w:t>For reserve funds established under s. 37 of the Planning Act (e.g. bonus zoning)</w:t>
      </w:r>
    </w:p>
    <w:p w14:paraId="55ECEA0D" w14:textId="77777777" w:rsidR="007206B5" w:rsidRDefault="007206B5" w:rsidP="007206B5">
      <w:pPr>
        <w:pStyle w:val="BodyTextbullets125"/>
        <w:numPr>
          <w:ilvl w:val="1"/>
          <w:numId w:val="1"/>
        </w:numPr>
        <w:rPr>
          <w:lang w:eastAsia="ja-JP"/>
        </w:rPr>
      </w:pPr>
      <w:r>
        <w:rPr>
          <w:lang w:eastAsia="ja-JP"/>
        </w:rPr>
        <w:t>If a C.B.C. is passed, the funds are transferred to the C.B.C. special account;</w:t>
      </w:r>
    </w:p>
    <w:p w14:paraId="7CDBDE38" w14:textId="77777777" w:rsidR="007206B5" w:rsidRDefault="007206B5" w:rsidP="007206B5">
      <w:pPr>
        <w:pStyle w:val="BodyTextbullets125"/>
        <w:numPr>
          <w:ilvl w:val="1"/>
          <w:numId w:val="1"/>
        </w:numPr>
        <w:rPr>
          <w:lang w:eastAsia="ja-JP"/>
        </w:rPr>
      </w:pPr>
      <w:r>
        <w:rPr>
          <w:lang w:eastAsia="ja-JP"/>
        </w:rPr>
        <w:t>If no C.B.C. is passed, the funds are moved to a general reserve fund for the same purpose;</w:t>
      </w:r>
    </w:p>
    <w:p w14:paraId="497B775E" w14:textId="7534DFF7" w:rsidR="007206B5" w:rsidRDefault="007206B5" w:rsidP="007206B5">
      <w:pPr>
        <w:pStyle w:val="BodyTextbullets125"/>
        <w:numPr>
          <w:ilvl w:val="1"/>
          <w:numId w:val="1"/>
        </w:numPr>
        <w:rPr>
          <w:lang w:eastAsia="ja-JP"/>
        </w:rPr>
      </w:pPr>
      <w:r>
        <w:rPr>
          <w:lang w:eastAsia="ja-JP"/>
        </w:rPr>
        <w:t>If a C.B.C. is passed subsequent to moving funds to a general reserve fund, those monies are then moved again to the C.B.C. special account.</w:t>
      </w:r>
    </w:p>
    <w:p w14:paraId="0880EBF6" w14:textId="2D2633F6" w:rsidR="007206B5" w:rsidRDefault="007206B5" w:rsidP="007206B5">
      <w:pPr>
        <w:pStyle w:val="BodyText125"/>
        <w:rPr>
          <w:lang w:eastAsia="ja-JP"/>
        </w:rPr>
      </w:pPr>
      <w:r w:rsidRPr="007206B5">
        <w:rPr>
          <w:lang w:eastAsia="ja-JP"/>
        </w:rPr>
        <w:t>If a municipality passes a C.B.C. by-law, any existing D.C. credits a landowner may retain may be used towards payment of that landowner’s C.B.C.</w:t>
      </w:r>
    </w:p>
    <w:p w14:paraId="70196F04" w14:textId="5A809B8A" w:rsidR="00BC642D" w:rsidRDefault="00EE5368" w:rsidP="00BC642D">
      <w:pPr>
        <w:pStyle w:val="BodyText125"/>
        <w:rPr>
          <w:lang w:eastAsia="ja-JP"/>
        </w:rPr>
      </w:pPr>
      <w:r>
        <w:rPr>
          <w:lang w:eastAsia="ja-JP"/>
        </w:rPr>
        <w:t xml:space="preserve">As mentioned above, a lower-tier municipality may impose a C.B.C.; however, this report does not address any C.B.C.s for the City.  </w:t>
      </w:r>
    </w:p>
    <w:p w14:paraId="164BA038" w14:textId="270908F1" w:rsidR="00551A91" w:rsidRDefault="00EE5368" w:rsidP="00B16524">
      <w:pPr>
        <w:pStyle w:val="Heading3"/>
        <w:numPr>
          <w:ilvl w:val="2"/>
          <w:numId w:val="3"/>
        </w:numPr>
      </w:pPr>
      <w:bookmarkStart w:id="36" w:name="_Toc154068731"/>
      <w:r>
        <w:lastRenderedPageBreak/>
        <w:t>Bill 213: Better for People, Smarter for Business Act, 2020</w:t>
      </w:r>
      <w:bookmarkEnd w:id="36"/>
    </w:p>
    <w:p w14:paraId="20A8BC2D" w14:textId="7ECF5138" w:rsidR="00EE5368" w:rsidRPr="00EE5368" w:rsidRDefault="00EE5368" w:rsidP="00EE5368">
      <w:pPr>
        <w:pStyle w:val="BodyText125"/>
        <w:rPr>
          <w:lang w:eastAsia="ja-JP"/>
        </w:rPr>
      </w:pPr>
      <w:r w:rsidRPr="00EE5368">
        <w:rPr>
          <w:lang w:eastAsia="ja-JP"/>
        </w:rPr>
        <w:t>On December 8, 2020, Bill 213 received Royal Assent.  One of the changes of the Bill that took effect upon Royal Assent included amending the Ministry of Training, Colleges and Universities Act by introducing a new section that would exempt the payment of D.C.s for developments of land intended for use by a university that receives operating funds from the Government. As a result, this mandatory exemption will be included in the D.C. by-law</w:t>
      </w:r>
      <w:r>
        <w:rPr>
          <w:lang w:eastAsia="ja-JP"/>
        </w:rPr>
        <w:t>.</w:t>
      </w:r>
    </w:p>
    <w:p w14:paraId="4BAEAEB7" w14:textId="52E4CAE3" w:rsidR="00551A91" w:rsidRPr="00717827" w:rsidRDefault="00EE5368" w:rsidP="00B16524">
      <w:pPr>
        <w:pStyle w:val="Heading3"/>
        <w:numPr>
          <w:ilvl w:val="2"/>
          <w:numId w:val="3"/>
        </w:numPr>
      </w:pPr>
      <w:bookmarkStart w:id="37" w:name="_Toc458085851"/>
      <w:bookmarkStart w:id="38" w:name="_Toc494292968"/>
      <w:bookmarkStart w:id="39" w:name="_Toc520300700"/>
      <w:bookmarkStart w:id="40" w:name="_Toc520822896"/>
      <w:bookmarkStart w:id="41" w:name="_Toc520910941"/>
      <w:bookmarkStart w:id="42" w:name="_Toc520911322"/>
      <w:bookmarkStart w:id="43" w:name="_Toc154068732"/>
      <w:r>
        <w:t xml:space="preserve">Bill 109: </w:t>
      </w:r>
      <w:bookmarkEnd w:id="37"/>
      <w:bookmarkEnd w:id="38"/>
      <w:bookmarkEnd w:id="39"/>
      <w:bookmarkEnd w:id="40"/>
      <w:bookmarkEnd w:id="41"/>
      <w:bookmarkEnd w:id="42"/>
      <w:r>
        <w:t>More Homes for Everyone Act, 2022</w:t>
      </w:r>
      <w:bookmarkEnd w:id="43"/>
    </w:p>
    <w:p w14:paraId="0771901B" w14:textId="796D9F19" w:rsidR="001350F1" w:rsidRDefault="00EE5368" w:rsidP="00551A91">
      <w:pPr>
        <w:pStyle w:val="BodyText125"/>
      </w:pPr>
      <w:r w:rsidRPr="00EE5368">
        <w:t>On April 14, 2022, Bill 109 received Royal Assent.  One of the changes of the Bill and Ontario Regulation (O. Reg.) 438/22 that took effect upon Royal Assent included amending the D.C.A. and O. Reg. 82/98 related to the requirements for the information which is to be included in the annual Treasurer’s statement on D.C. reserve funds and the requirement for publication of the statement.  The following additional information must be provided for each D.C. service being collected for during the year</w:t>
      </w:r>
      <w:r>
        <w:t>:</w:t>
      </w:r>
    </w:p>
    <w:p w14:paraId="15F91773" w14:textId="77777777" w:rsidR="00EE5368" w:rsidRDefault="00EE5368" w:rsidP="00F43901">
      <w:pPr>
        <w:pStyle w:val="BodyText125"/>
        <w:numPr>
          <w:ilvl w:val="0"/>
          <w:numId w:val="24"/>
        </w:numPr>
      </w:pPr>
      <w:r>
        <w:t>whether, as of the end of the year, the municipality expects to incur the amount of capital costs that were estimated, in the relevant development charge background study, to be incurred during the term of the applicable development charge by-law;</w:t>
      </w:r>
    </w:p>
    <w:p w14:paraId="10054F47" w14:textId="77777777" w:rsidR="00EE5368" w:rsidRDefault="00EE5368" w:rsidP="00F43901">
      <w:pPr>
        <w:pStyle w:val="BodyText125"/>
        <w:numPr>
          <w:ilvl w:val="0"/>
          <w:numId w:val="24"/>
        </w:numPr>
      </w:pPr>
      <w:r>
        <w:t>if the answer to a) is no, the amount the municipality now expects to incur and a statement as to why this amount is expected; and</w:t>
      </w:r>
    </w:p>
    <w:p w14:paraId="7D7D7086" w14:textId="1EDF62F2" w:rsidR="00EE5368" w:rsidRDefault="00EE5368" w:rsidP="00F43901">
      <w:pPr>
        <w:pStyle w:val="BodyText125"/>
        <w:numPr>
          <w:ilvl w:val="0"/>
          <w:numId w:val="24"/>
        </w:numPr>
      </w:pPr>
      <w:r>
        <w:t>if no money was spent from the reserve fund during the year, a statement as to why there was no spending during the year.</w:t>
      </w:r>
    </w:p>
    <w:p w14:paraId="7AE39595" w14:textId="6B27ACCF" w:rsidR="00EE5368" w:rsidRPr="00EE5368" w:rsidRDefault="00EE5368" w:rsidP="00EE5368">
      <w:pPr>
        <w:pStyle w:val="BodyText125"/>
      </w:pPr>
      <w:r w:rsidRPr="00EE5368">
        <w:t>The D.C.A. has also been amended to now require that the annual Treasurer’s statement be made available to the public on the website of the municipality or, if there is no such website, in the municipal office</w:t>
      </w:r>
      <w:r>
        <w:t>.</w:t>
      </w:r>
    </w:p>
    <w:p w14:paraId="2AB20552" w14:textId="725FC9C3" w:rsidR="006B6070" w:rsidRPr="006B6070" w:rsidRDefault="006B6070" w:rsidP="003B194A">
      <w:pPr>
        <w:pStyle w:val="Heading2"/>
      </w:pPr>
      <w:bookmarkStart w:id="44" w:name="_Toc9419304"/>
      <w:bookmarkStart w:id="45" w:name="_Toc10452001"/>
      <w:bookmarkStart w:id="46" w:name="_Toc154068733"/>
      <w:r w:rsidRPr="006B6070">
        <w:t>Changes to the D.C.A.</w:t>
      </w:r>
      <w:r w:rsidR="00EE5368">
        <w:t xml:space="preserve"> – Bill 23</w:t>
      </w:r>
      <w:bookmarkEnd w:id="44"/>
      <w:bookmarkEnd w:id="45"/>
      <w:r w:rsidR="00EE5368">
        <w:t>: More Homes Built Faster Act, 2022</w:t>
      </w:r>
      <w:bookmarkEnd w:id="46"/>
    </w:p>
    <w:p w14:paraId="7BB64DB9" w14:textId="15A2834D" w:rsidR="00EE5368" w:rsidRDefault="00EE5368" w:rsidP="006B6070">
      <w:pPr>
        <w:pStyle w:val="BodyText125"/>
      </w:pPr>
      <w:r w:rsidRPr="00EE5368">
        <w:t xml:space="preserve">On November 28, 2022, Bill 23 received Royal Assent.  This Bill amends a number of pieces of legislation including the Planning Act and D.C.A.  The following provides a </w:t>
      </w:r>
      <w:r w:rsidRPr="00EE5368">
        <w:lastRenderedPageBreak/>
        <w:t>summary of the changes to the D.C.A.</w:t>
      </w:r>
      <w:r w:rsidR="00464986">
        <w:t xml:space="preserve">  It is noted that, as of the time of writing, the Province has announced (on December 13, 2023) potential changes to the phased-in requirements and the removal of studies as eligible costs.  The details of these changes will be forthcoming in early 2024 and Watson will monitor and advise as to the nature of these changes</w:t>
      </w:r>
      <w:r w:rsidR="007D0EB3">
        <w:t>.</w:t>
      </w:r>
    </w:p>
    <w:p w14:paraId="61587EE4" w14:textId="77777777" w:rsidR="00EE5368" w:rsidRPr="00EE5368" w:rsidRDefault="00EE5368" w:rsidP="00EE5368">
      <w:pPr>
        <w:pStyle w:val="Heading3"/>
        <w:rPr>
          <w:u w:val="single"/>
        </w:rPr>
      </w:pPr>
      <w:bookmarkStart w:id="47" w:name="_Toc154068734"/>
      <w:r>
        <w:t>Additional Residential Unit Exemption</w:t>
      </w:r>
      <w:bookmarkEnd w:id="47"/>
    </w:p>
    <w:p w14:paraId="01E4C829" w14:textId="444C51FA" w:rsidR="00EE5368" w:rsidRDefault="00EE5368" w:rsidP="00EE5368">
      <w:pPr>
        <w:pStyle w:val="BodyText125"/>
      </w:pPr>
      <w:r w:rsidRPr="00EE5368">
        <w:t>The rules for these exemptions are now provided in the D.C.A., rather than the regulations and are summarized as follows</w:t>
      </w:r>
      <w:r>
        <w:t>:</w:t>
      </w:r>
    </w:p>
    <w:p w14:paraId="0A82E665" w14:textId="1466D4FC" w:rsidR="006B6070" w:rsidRPr="00EE5368" w:rsidRDefault="00EE5368" w:rsidP="00EE5368">
      <w:pPr>
        <w:pStyle w:val="BodyTextbullets125"/>
        <w:rPr>
          <w:b/>
          <w:u w:val="single"/>
        </w:rPr>
      </w:pPr>
      <w:r w:rsidRPr="00EE5368">
        <w:rPr>
          <w:u w:val="single"/>
        </w:rPr>
        <w:t>Exemption for residential units in existing rental residential buildings</w:t>
      </w:r>
      <w:r w:rsidRPr="00EE5368">
        <w:t xml:space="preserve"> – For rental residential buildings with four or more residential units, the greater of one unit or 1% of the existing residential units will be exempt from D.C.</w:t>
      </w:r>
      <w:r w:rsidR="006B6070" w:rsidRPr="006B6070">
        <w:t xml:space="preserve">   </w:t>
      </w:r>
    </w:p>
    <w:p w14:paraId="48057747" w14:textId="0FF58957" w:rsidR="00EE5368" w:rsidRDefault="00EE5368" w:rsidP="00EE5368">
      <w:pPr>
        <w:pStyle w:val="BodyTextbullets125"/>
        <w:rPr>
          <w:bCs/>
        </w:rPr>
      </w:pPr>
      <w:r w:rsidRPr="00EE5368">
        <w:rPr>
          <w:bCs/>
          <w:u w:val="single"/>
        </w:rPr>
        <w:t>Exemption for additional residential units in existing and new residential buildings</w:t>
      </w:r>
      <w:r w:rsidRPr="00EE5368">
        <w:rPr>
          <w:bCs/>
        </w:rPr>
        <w:t xml:space="preserve"> – The following developments will be exempt from a D.C.:</w:t>
      </w:r>
    </w:p>
    <w:p w14:paraId="40F89FE9" w14:textId="77777777" w:rsidR="00EE5368" w:rsidRPr="00EE5368" w:rsidRDefault="00EE5368" w:rsidP="00EE5368">
      <w:pPr>
        <w:pStyle w:val="BodyTextbullets125"/>
        <w:numPr>
          <w:ilvl w:val="1"/>
          <w:numId w:val="1"/>
        </w:numPr>
        <w:rPr>
          <w:bCs/>
        </w:rPr>
      </w:pPr>
      <w:r w:rsidRPr="00EE5368">
        <w:rPr>
          <w:bCs/>
        </w:rPr>
        <w:t>A second unit in a detached, semi-detached, or rowhouse if all buildings and ancillary structures cumulatively contain no more than one residential unit;</w:t>
      </w:r>
    </w:p>
    <w:p w14:paraId="1D1B7760" w14:textId="77777777" w:rsidR="00EE5368" w:rsidRPr="00EE5368" w:rsidRDefault="00EE5368" w:rsidP="00EE5368">
      <w:pPr>
        <w:pStyle w:val="BodyTextbullets125"/>
        <w:numPr>
          <w:ilvl w:val="1"/>
          <w:numId w:val="1"/>
        </w:numPr>
        <w:rPr>
          <w:bCs/>
        </w:rPr>
      </w:pPr>
      <w:r w:rsidRPr="00EE5368">
        <w:rPr>
          <w:bCs/>
        </w:rPr>
        <w:t>A third unit in a detached, semi-detached, or rowhouse if no buildings or ancillary structures contain any residential units; and</w:t>
      </w:r>
    </w:p>
    <w:p w14:paraId="59A276B1" w14:textId="4B6BF7BB" w:rsidR="00EE5368" w:rsidRDefault="00EE5368" w:rsidP="00EE5368">
      <w:pPr>
        <w:pStyle w:val="BodyTextbullets125"/>
        <w:numPr>
          <w:ilvl w:val="1"/>
          <w:numId w:val="1"/>
        </w:numPr>
        <w:rPr>
          <w:bCs/>
        </w:rPr>
      </w:pPr>
      <w:r w:rsidRPr="00EE5368">
        <w:rPr>
          <w:bCs/>
        </w:rPr>
        <w:t>One residential unit in a building or structure ancillary to a detached, semi-detached, or rowhouse on a parcel of urban land, if the detached, semi-detached, or rowhouse contains no more than two residential units and no other buildings or ancillary structures contain any residential units</w:t>
      </w:r>
      <w:r w:rsidR="00AD3F96">
        <w:rPr>
          <w:bCs/>
        </w:rPr>
        <w:t>.</w:t>
      </w:r>
    </w:p>
    <w:p w14:paraId="080BAF02" w14:textId="76E6D766" w:rsidR="00AD3F96" w:rsidRDefault="00AD3F96" w:rsidP="00AD3F96">
      <w:pPr>
        <w:pStyle w:val="Heading3"/>
      </w:pPr>
      <w:bookmarkStart w:id="48" w:name="_Toc154068735"/>
      <w:r>
        <w:t>Removal of Housing as an Eligible D.C. Service</w:t>
      </w:r>
      <w:bookmarkEnd w:id="48"/>
    </w:p>
    <w:p w14:paraId="10E24AEF" w14:textId="6C202D91" w:rsidR="00AD3F96" w:rsidRDefault="00AD3F96" w:rsidP="00AD3F96">
      <w:pPr>
        <w:pStyle w:val="BodyText125"/>
        <w:rPr>
          <w:lang w:eastAsia="ja-JP"/>
        </w:rPr>
      </w:pPr>
      <w:r w:rsidRPr="00AD3F96">
        <w:rPr>
          <w:lang w:eastAsia="ja-JP"/>
        </w:rPr>
        <w:t>Housing services is removed as an eligible service.  Municipalities with by-laws that include a charge for housing services can no longer collect for this service</w:t>
      </w:r>
      <w:r>
        <w:rPr>
          <w:lang w:eastAsia="ja-JP"/>
        </w:rPr>
        <w:t>.</w:t>
      </w:r>
    </w:p>
    <w:p w14:paraId="31F36C03" w14:textId="5121B3D3" w:rsidR="005F3099" w:rsidRDefault="005F3099" w:rsidP="00AD3F96">
      <w:pPr>
        <w:pStyle w:val="Heading3"/>
      </w:pPr>
      <w:bookmarkStart w:id="49" w:name="_Toc154068736"/>
      <w:r>
        <w:t>New Statutory Exemption for Non-Profit Housing</w:t>
      </w:r>
      <w:bookmarkEnd w:id="49"/>
    </w:p>
    <w:p w14:paraId="38CA52E2" w14:textId="7E35D662" w:rsidR="005F3099" w:rsidRPr="005F3099" w:rsidRDefault="005F3099" w:rsidP="005F3099">
      <w:pPr>
        <w:pStyle w:val="BodyText125"/>
        <w:rPr>
          <w:lang w:eastAsia="ja-JP"/>
        </w:rPr>
      </w:pPr>
      <w:r>
        <w:rPr>
          <w:lang w:eastAsia="ja-JP"/>
        </w:rPr>
        <w:t xml:space="preserve">Non-profit housing units are exempt from D.C.s and D.C. </w:t>
      </w:r>
      <w:r w:rsidR="002B4CD3">
        <w:rPr>
          <w:lang w:eastAsia="ja-JP"/>
        </w:rPr>
        <w:t>installment</w:t>
      </w:r>
      <w:r>
        <w:rPr>
          <w:lang w:eastAsia="ja-JP"/>
        </w:rPr>
        <w:t xml:space="preserve"> payments due after November 28, 2022.</w:t>
      </w:r>
    </w:p>
    <w:p w14:paraId="2980FB27" w14:textId="6C1D6646" w:rsidR="00AD3F96" w:rsidRDefault="00AD3F96" w:rsidP="00AD3F96">
      <w:pPr>
        <w:pStyle w:val="Heading3"/>
      </w:pPr>
      <w:bookmarkStart w:id="50" w:name="_Toc154068737"/>
      <w:r>
        <w:lastRenderedPageBreak/>
        <w:t xml:space="preserve">New Statutory </w:t>
      </w:r>
      <w:r w:rsidRPr="00AD3F96">
        <w:t xml:space="preserve">Exemptions for Affordable Units, Attainable Units, </w:t>
      </w:r>
      <w:r w:rsidR="005F3099">
        <w:t xml:space="preserve">and Affordable </w:t>
      </w:r>
      <w:r w:rsidRPr="00AD3F96">
        <w:t>Inclusionary Zoning Units</w:t>
      </w:r>
      <w:bookmarkEnd w:id="50"/>
    </w:p>
    <w:p w14:paraId="2CEB4396" w14:textId="131EFE03" w:rsidR="00AD3F96" w:rsidRDefault="00AD3F96" w:rsidP="00AD3F96">
      <w:pPr>
        <w:pStyle w:val="BodyText125"/>
        <w:rPr>
          <w:lang w:eastAsia="ja-JP"/>
        </w:rPr>
      </w:pPr>
      <w:r w:rsidRPr="00AD3F96">
        <w:rPr>
          <w:lang w:eastAsia="ja-JP"/>
        </w:rPr>
        <w:t>Affordable units, attainable units, inclusionary zoning units</w:t>
      </w:r>
      <w:r w:rsidR="005F3099">
        <w:rPr>
          <w:lang w:eastAsia="ja-JP"/>
        </w:rPr>
        <w:t xml:space="preserve"> (affordable)</w:t>
      </w:r>
      <w:r w:rsidRPr="00AD3F96">
        <w:rPr>
          <w:lang w:eastAsia="ja-JP"/>
        </w:rPr>
        <w:t xml:space="preserve"> are exempt from the payment of D.C.s, as follows</w:t>
      </w:r>
      <w:r>
        <w:rPr>
          <w:lang w:eastAsia="ja-JP"/>
        </w:rPr>
        <w:t>:</w:t>
      </w:r>
    </w:p>
    <w:p w14:paraId="21D93CCB" w14:textId="25FDF065" w:rsidR="009B3932" w:rsidRPr="009B3932" w:rsidRDefault="009B3932" w:rsidP="00AD3F96">
      <w:pPr>
        <w:pStyle w:val="BodyTextbullets125"/>
        <w:rPr>
          <w:lang w:eastAsia="ja-JP"/>
        </w:rPr>
      </w:pPr>
      <w:r w:rsidRPr="00AD3F96">
        <w:rPr>
          <w:u w:val="single"/>
          <w:lang w:eastAsia="ja-JP"/>
        </w:rPr>
        <w:t>Inclusionary Zoning Units:</w:t>
      </w:r>
      <w:r>
        <w:rPr>
          <w:lang w:eastAsia="ja-JP"/>
        </w:rPr>
        <w:t xml:space="preserve">  Affordable housing units required under inclusionary zoning by-laws are exempt from a D.C.</w:t>
      </w:r>
    </w:p>
    <w:p w14:paraId="62F21B99" w14:textId="26C2FFBA" w:rsidR="00AD3F96" w:rsidRDefault="00AD3F96" w:rsidP="00AD3F96">
      <w:pPr>
        <w:pStyle w:val="BodyTextbullets125"/>
        <w:rPr>
          <w:lang w:eastAsia="ja-JP"/>
        </w:rPr>
      </w:pPr>
      <w:r w:rsidRPr="00AD3F96">
        <w:rPr>
          <w:u w:val="single"/>
          <w:lang w:eastAsia="ja-JP"/>
        </w:rPr>
        <w:t>Affordable Rental Units:</w:t>
      </w:r>
      <w:r>
        <w:rPr>
          <w:lang w:eastAsia="ja-JP"/>
        </w:rPr>
        <w:t xml:space="preserve">  Where rent is no more than 80% of the average market rent as defined by a new bulletin published by the Ministry of Municipal Affairs and Housing.</w:t>
      </w:r>
    </w:p>
    <w:p w14:paraId="7D199777" w14:textId="77777777" w:rsidR="00AD3F96" w:rsidRDefault="00AD3F96" w:rsidP="00AD3F96">
      <w:pPr>
        <w:pStyle w:val="BodyTextbullets125"/>
        <w:rPr>
          <w:lang w:eastAsia="ja-JP"/>
        </w:rPr>
      </w:pPr>
      <w:r w:rsidRPr="00AD3F96">
        <w:rPr>
          <w:u w:val="single"/>
          <w:lang w:eastAsia="ja-JP"/>
        </w:rPr>
        <w:t>Affordable Owned Units:</w:t>
      </w:r>
      <w:r>
        <w:rPr>
          <w:lang w:eastAsia="ja-JP"/>
        </w:rPr>
        <w:t xml:space="preserve">  Where the price of the unit is no more than 80% of the average purchase price as defined by a new bulletin published by the Ministry of Municipal Affairs and Housing.</w:t>
      </w:r>
    </w:p>
    <w:p w14:paraId="43A82811" w14:textId="69FA5FB7" w:rsidR="00AD3F96" w:rsidRDefault="00AD3F96" w:rsidP="00AD3F96">
      <w:pPr>
        <w:pStyle w:val="BodyTextbullets125"/>
        <w:rPr>
          <w:lang w:eastAsia="ja-JP"/>
        </w:rPr>
      </w:pPr>
      <w:r w:rsidRPr="00AD3F96">
        <w:rPr>
          <w:u w:val="single"/>
          <w:lang w:eastAsia="ja-JP"/>
        </w:rPr>
        <w:t>Attainable Units:</w:t>
      </w:r>
      <w:r>
        <w:rPr>
          <w:lang w:eastAsia="ja-JP"/>
        </w:rPr>
        <w:t xml:space="preserve">  Excludes affordable units and rental units; will be defined as prescribed development or class of development and sold to a person who is at “arm’s length” from the seller.</w:t>
      </w:r>
    </w:p>
    <w:p w14:paraId="4536ED6F" w14:textId="75211D76" w:rsidR="00AD3F96" w:rsidRDefault="00AD3F96" w:rsidP="00AD3F96">
      <w:pPr>
        <w:pStyle w:val="BodyTextbullets125"/>
        <w:numPr>
          <w:ilvl w:val="1"/>
          <w:numId w:val="1"/>
        </w:numPr>
        <w:rPr>
          <w:lang w:eastAsia="ja-JP"/>
        </w:rPr>
      </w:pPr>
      <w:r w:rsidRPr="00AD3F96">
        <w:rPr>
          <w:lang w:eastAsia="ja-JP"/>
        </w:rPr>
        <w:t>Note:  for affordable and attainable units, the municipality shall enter into an agreement that ensures the unit remains affordable or attainable for 25 years.</w:t>
      </w:r>
    </w:p>
    <w:p w14:paraId="37B4E1A2" w14:textId="0AED39AE" w:rsidR="007821DA" w:rsidRDefault="007821DA" w:rsidP="007821DA">
      <w:pPr>
        <w:pStyle w:val="BodyText125"/>
        <w:ind w:left="720"/>
        <w:rPr>
          <w:lang w:eastAsia="ja-JP"/>
        </w:rPr>
      </w:pPr>
      <w:r>
        <w:rPr>
          <w:lang w:eastAsia="ja-JP"/>
        </w:rPr>
        <w:t>Further to the above, Bill 134: Affordable Homes and Good Jobs Act, 2023 which was released on September 28, 2023 and received Royal Assent on December 4, 2023 provides a new definition of “affordable” under the D.C.A.:</w:t>
      </w:r>
    </w:p>
    <w:p w14:paraId="64450B10" w14:textId="151B2667" w:rsidR="007821DA" w:rsidRDefault="007821DA" w:rsidP="007821DA">
      <w:pPr>
        <w:pStyle w:val="BodyTextbullets125"/>
        <w:ind w:left="1800"/>
        <w:rPr>
          <w:lang w:eastAsia="ja-JP"/>
        </w:rPr>
      </w:pPr>
      <w:r>
        <w:rPr>
          <w:lang w:eastAsia="ja-JP"/>
        </w:rPr>
        <w:t>Owned unit (lesser of): cost is less than 30% of the 60th percentile of income for households in the municipality or 90% of the average purchase price as defined in a new Bulletin; and</w:t>
      </w:r>
    </w:p>
    <w:p w14:paraId="5FDE9CC4" w14:textId="4D9CFC22" w:rsidR="007821DA" w:rsidRPr="007821DA" w:rsidRDefault="007821DA" w:rsidP="007821DA">
      <w:pPr>
        <w:pStyle w:val="BodyTextbullets125"/>
        <w:ind w:left="1800"/>
        <w:rPr>
          <w:lang w:eastAsia="ja-JP"/>
        </w:rPr>
      </w:pPr>
      <w:r>
        <w:rPr>
          <w:lang w:eastAsia="ja-JP"/>
        </w:rPr>
        <w:t>Rental unit (lesser of): rent is less than 30% of the 60th percentile of income for rental households or average market rent set out in a new Bulletin.</w:t>
      </w:r>
    </w:p>
    <w:p w14:paraId="31881B58" w14:textId="01D0A210" w:rsidR="00AD3F96" w:rsidRPr="009B3932" w:rsidRDefault="005F3099" w:rsidP="009B3932">
      <w:pPr>
        <w:pStyle w:val="BodyText125"/>
        <w:ind w:left="720"/>
        <w:rPr>
          <w:i/>
          <w:iCs/>
          <w:lang w:eastAsia="ja-JP"/>
        </w:rPr>
      </w:pPr>
      <w:r w:rsidRPr="005F3099">
        <w:rPr>
          <w:i/>
          <w:iCs/>
          <w:lang w:eastAsia="ja-JP"/>
        </w:rPr>
        <w:t>Note: the above exemptions are not currently in force.  These exemptions will be in force upon proclamation and revisions to the regulations. The bulletin has yet to be published as at the time of writing this report.</w:t>
      </w:r>
    </w:p>
    <w:p w14:paraId="5ACD6EBB" w14:textId="4B7A22A6" w:rsidR="006B6070" w:rsidRDefault="00AD3F96" w:rsidP="00AD3F96">
      <w:pPr>
        <w:pStyle w:val="Heading3"/>
      </w:pPr>
      <w:bookmarkStart w:id="51" w:name="_Toc154068738"/>
      <w:r>
        <w:lastRenderedPageBreak/>
        <w:t xml:space="preserve">Historical </w:t>
      </w:r>
      <w:r w:rsidRPr="00AD3F96">
        <w:t>Level of Service extended to 15-year period instead of the historical 10-year period</w:t>
      </w:r>
      <w:bookmarkEnd w:id="51"/>
    </w:p>
    <w:p w14:paraId="27901C76" w14:textId="5FCA20C1" w:rsidR="00AD3F96" w:rsidRDefault="00A116CC" w:rsidP="00AD3F96">
      <w:pPr>
        <w:pStyle w:val="BodyText125"/>
        <w:rPr>
          <w:lang w:eastAsia="ja-JP"/>
        </w:rPr>
      </w:pPr>
      <w:r w:rsidRPr="00A116CC">
        <w:rPr>
          <w:lang w:eastAsia="ja-JP"/>
        </w:rPr>
        <w:t>Prior to Bill 23, the increase in need for service was limited by the average historical level of service calculated over the 10-year period preceding the preparation of the D.C. background study.  This average is now extended to the historical 15-year period.</w:t>
      </w:r>
    </w:p>
    <w:p w14:paraId="689211FF" w14:textId="042964C8" w:rsidR="00AD3F96" w:rsidRDefault="00AD3F96" w:rsidP="00AD3F96">
      <w:pPr>
        <w:pStyle w:val="Heading3"/>
      </w:pPr>
      <w:bookmarkStart w:id="52" w:name="_Toc154068739"/>
      <w:r>
        <w:t>Revised Definition of Capital Costs</w:t>
      </w:r>
      <w:bookmarkEnd w:id="52"/>
    </w:p>
    <w:p w14:paraId="430BF0EC" w14:textId="445F8AA3" w:rsidR="00AD3F96" w:rsidRDefault="00AD3F96" w:rsidP="00AD3F96">
      <w:pPr>
        <w:pStyle w:val="BodyText125"/>
        <w:rPr>
          <w:lang w:eastAsia="ja-JP"/>
        </w:rPr>
      </w:pPr>
      <w:r w:rsidRPr="00AD3F96">
        <w:rPr>
          <w:lang w:eastAsia="ja-JP"/>
        </w:rPr>
        <w:t>The definition of capital costs has been revised to remove studies.  Further, the regulations to the Act will prescribe services for which land or an interest in land will be restricted.  As at the time of writing, no services have been prescribed</w:t>
      </w:r>
      <w:r>
        <w:rPr>
          <w:lang w:eastAsia="ja-JP"/>
        </w:rPr>
        <w:t>.</w:t>
      </w:r>
    </w:p>
    <w:p w14:paraId="20566B74" w14:textId="5D703A49" w:rsidR="00AD3F96" w:rsidRDefault="00AD3F96" w:rsidP="00AD3F96">
      <w:pPr>
        <w:pStyle w:val="Heading3"/>
      </w:pPr>
      <w:bookmarkStart w:id="53" w:name="_Toc154068740"/>
      <w:r w:rsidRPr="00AD3F96">
        <w:t>Mandatory Phase-in of a D.C.</w:t>
      </w:r>
      <w:bookmarkEnd w:id="53"/>
    </w:p>
    <w:p w14:paraId="3578FB88" w14:textId="327D6661" w:rsidR="00AD3F96" w:rsidRDefault="00AD3F96" w:rsidP="00AD3F96">
      <w:pPr>
        <w:pStyle w:val="BodyText125"/>
        <w:rPr>
          <w:lang w:eastAsia="ja-JP"/>
        </w:rPr>
      </w:pPr>
      <w:r w:rsidRPr="00AD3F96">
        <w:rPr>
          <w:lang w:eastAsia="ja-JP"/>
        </w:rPr>
        <w:t>For all D.C. by-laws passed after January 1, 2022, the charge must be phased-in annually over the first five years the by-law is in force, as follows</w:t>
      </w:r>
      <w:r>
        <w:rPr>
          <w:lang w:eastAsia="ja-JP"/>
        </w:rPr>
        <w:t>:</w:t>
      </w:r>
    </w:p>
    <w:p w14:paraId="6DB2C1C3" w14:textId="77777777" w:rsidR="00AD3F96" w:rsidRDefault="00AD3F96" w:rsidP="00AD3F96">
      <w:pPr>
        <w:pStyle w:val="BodyTextbullets125"/>
        <w:rPr>
          <w:lang w:eastAsia="ja-JP"/>
        </w:rPr>
      </w:pPr>
      <w:r>
        <w:rPr>
          <w:lang w:eastAsia="ja-JP"/>
        </w:rPr>
        <w:t>Year 1 – 80% of the maximum charge;</w:t>
      </w:r>
    </w:p>
    <w:p w14:paraId="7DC05A16" w14:textId="77777777" w:rsidR="00AD3F96" w:rsidRDefault="00AD3F96" w:rsidP="00AD3F96">
      <w:pPr>
        <w:pStyle w:val="BodyTextbullets125"/>
        <w:rPr>
          <w:lang w:eastAsia="ja-JP"/>
        </w:rPr>
      </w:pPr>
      <w:r>
        <w:rPr>
          <w:lang w:eastAsia="ja-JP"/>
        </w:rPr>
        <w:t>Year 2 – 85% of the maximum charge;</w:t>
      </w:r>
    </w:p>
    <w:p w14:paraId="574CEEC2" w14:textId="77777777" w:rsidR="00AD3F96" w:rsidRDefault="00AD3F96" w:rsidP="00AD3F96">
      <w:pPr>
        <w:pStyle w:val="BodyTextbullets125"/>
        <w:rPr>
          <w:lang w:eastAsia="ja-JP"/>
        </w:rPr>
      </w:pPr>
      <w:r>
        <w:rPr>
          <w:lang w:eastAsia="ja-JP"/>
        </w:rPr>
        <w:t>Year 3 – 90% of the maximum charge;</w:t>
      </w:r>
    </w:p>
    <w:p w14:paraId="3D70708D" w14:textId="77777777" w:rsidR="00AD3F96" w:rsidRDefault="00AD3F96" w:rsidP="00AD3F96">
      <w:pPr>
        <w:pStyle w:val="BodyTextbullets125"/>
        <w:rPr>
          <w:lang w:eastAsia="ja-JP"/>
        </w:rPr>
      </w:pPr>
      <w:r>
        <w:rPr>
          <w:lang w:eastAsia="ja-JP"/>
        </w:rPr>
        <w:t>Year 4 – 95% of the maximum charge; and</w:t>
      </w:r>
    </w:p>
    <w:p w14:paraId="0FCD653E" w14:textId="69A19470" w:rsidR="00AD3F96" w:rsidRDefault="00AD3F96" w:rsidP="00AD3F96">
      <w:pPr>
        <w:pStyle w:val="BodyTextbullets125"/>
        <w:rPr>
          <w:lang w:eastAsia="ja-JP"/>
        </w:rPr>
      </w:pPr>
      <w:r>
        <w:rPr>
          <w:lang w:eastAsia="ja-JP"/>
        </w:rPr>
        <w:t>Year 5 to expiry – 100% of the maximum charge.</w:t>
      </w:r>
    </w:p>
    <w:p w14:paraId="76C87F1A" w14:textId="0669B925" w:rsidR="00AD3F96" w:rsidRDefault="00AD3F96" w:rsidP="00AD3F96">
      <w:pPr>
        <w:pStyle w:val="Heading3"/>
      </w:pPr>
      <w:bookmarkStart w:id="54" w:name="_Toc154068741"/>
      <w:r>
        <w:t>D.C. By-law Expiry</w:t>
      </w:r>
      <w:bookmarkEnd w:id="54"/>
    </w:p>
    <w:p w14:paraId="20F072B8" w14:textId="4E37B30A" w:rsidR="00AD3F96" w:rsidRDefault="00AD3F96" w:rsidP="00AD3F96">
      <w:pPr>
        <w:pStyle w:val="BodyText125"/>
        <w:rPr>
          <w:lang w:eastAsia="ja-JP"/>
        </w:rPr>
      </w:pPr>
      <w:r w:rsidRPr="00AD3F96">
        <w:rPr>
          <w:lang w:eastAsia="ja-JP"/>
        </w:rPr>
        <w:t xml:space="preserve">A D.C. by-law now expires </w:t>
      </w:r>
      <w:r w:rsidR="00A116CC">
        <w:rPr>
          <w:lang w:eastAsia="ja-JP"/>
        </w:rPr>
        <w:t>10</w:t>
      </w:r>
      <w:r w:rsidRPr="00AD3F96">
        <w:rPr>
          <w:lang w:eastAsia="ja-JP"/>
        </w:rPr>
        <w:t xml:space="preserve"> years after the day it comes into force (unless the by-law provides for an earlier expiry date).  This extends the by-law’s life from five</w:t>
      </w:r>
      <w:r w:rsidR="00A116CC">
        <w:rPr>
          <w:lang w:eastAsia="ja-JP"/>
        </w:rPr>
        <w:t xml:space="preserve"> (5)</w:t>
      </w:r>
      <w:r w:rsidRPr="00AD3F96">
        <w:rPr>
          <w:lang w:eastAsia="ja-JP"/>
        </w:rPr>
        <w:t xml:space="preserve"> years, </w:t>
      </w:r>
      <w:r w:rsidR="00A116CC">
        <w:rPr>
          <w:lang w:eastAsia="ja-JP"/>
        </w:rPr>
        <w:t>prior to Bill 23</w:t>
      </w:r>
      <w:r>
        <w:rPr>
          <w:lang w:eastAsia="ja-JP"/>
        </w:rPr>
        <w:t>.</w:t>
      </w:r>
    </w:p>
    <w:p w14:paraId="1FD8C7A4" w14:textId="617878D3" w:rsidR="00AD3F96" w:rsidRDefault="00AD3F96" w:rsidP="00AD3F96">
      <w:pPr>
        <w:pStyle w:val="Heading3"/>
      </w:pPr>
      <w:bookmarkStart w:id="55" w:name="_Toc154068742"/>
      <w:r>
        <w:t>Installment Payments</w:t>
      </w:r>
      <w:bookmarkEnd w:id="55"/>
    </w:p>
    <w:p w14:paraId="65C02B63" w14:textId="123AC0CB" w:rsidR="00AD3F96" w:rsidRDefault="00AD3F96" w:rsidP="00AD3F96">
      <w:pPr>
        <w:pStyle w:val="BodyText125"/>
        <w:rPr>
          <w:lang w:eastAsia="ja-JP"/>
        </w:rPr>
      </w:pPr>
      <w:r w:rsidRPr="00AD3F96">
        <w:rPr>
          <w:lang w:eastAsia="ja-JP"/>
        </w:rPr>
        <w:t xml:space="preserve">Non-profit housing development has been removed from the </w:t>
      </w:r>
      <w:r w:rsidR="002B4CD3">
        <w:rPr>
          <w:lang w:eastAsia="ja-JP"/>
        </w:rPr>
        <w:t>installment</w:t>
      </w:r>
      <w:r w:rsidRPr="00AD3F96">
        <w:rPr>
          <w:lang w:eastAsia="ja-JP"/>
        </w:rPr>
        <w:t xml:space="preserve"> payment section of the Act (section 26.1), as these units are now exempt from the payment of a D.C.</w:t>
      </w:r>
    </w:p>
    <w:p w14:paraId="79E511E9" w14:textId="14B5C0DD" w:rsidR="00AD3F96" w:rsidRDefault="00AD3F96" w:rsidP="00AD3F96">
      <w:pPr>
        <w:pStyle w:val="Heading3"/>
      </w:pPr>
      <w:bookmarkStart w:id="56" w:name="_Toc154068743"/>
      <w:r>
        <w:t>Rental Housing Discount</w:t>
      </w:r>
      <w:bookmarkEnd w:id="56"/>
    </w:p>
    <w:p w14:paraId="1BB4889F" w14:textId="00A4D2A1" w:rsidR="00AD3F96" w:rsidRDefault="00AD3F96" w:rsidP="00AD3F96">
      <w:pPr>
        <w:pStyle w:val="BodyText125"/>
        <w:rPr>
          <w:lang w:eastAsia="ja-JP"/>
        </w:rPr>
      </w:pPr>
      <w:r w:rsidRPr="00AD3F96">
        <w:rPr>
          <w:lang w:eastAsia="ja-JP"/>
        </w:rPr>
        <w:t>The D.C. payable for rental housing development will be reduced based on the number of bedrooms in each unit as follows:</w:t>
      </w:r>
    </w:p>
    <w:p w14:paraId="41E24892" w14:textId="77777777" w:rsidR="00AD3F96" w:rsidRDefault="00AD3F96" w:rsidP="00AD3F96">
      <w:pPr>
        <w:pStyle w:val="BodyTextbullets125"/>
        <w:rPr>
          <w:lang w:eastAsia="ja-JP"/>
        </w:rPr>
      </w:pPr>
      <w:r>
        <w:rPr>
          <w:lang w:eastAsia="ja-JP"/>
        </w:rPr>
        <w:t>Three or more bedrooms – 25% reduction;</w:t>
      </w:r>
    </w:p>
    <w:p w14:paraId="2106D219" w14:textId="77777777" w:rsidR="00AD3F96" w:rsidRDefault="00AD3F96" w:rsidP="00AD3F96">
      <w:pPr>
        <w:pStyle w:val="BodyTextbullets125"/>
        <w:rPr>
          <w:lang w:eastAsia="ja-JP"/>
        </w:rPr>
      </w:pPr>
      <w:r>
        <w:rPr>
          <w:lang w:eastAsia="ja-JP"/>
        </w:rPr>
        <w:t>Two bedrooms – 20% reduction; and</w:t>
      </w:r>
    </w:p>
    <w:p w14:paraId="4E31217C" w14:textId="7B52A9E7" w:rsidR="00AD3F96" w:rsidRDefault="00AD3F96" w:rsidP="00AD3F96">
      <w:pPr>
        <w:pStyle w:val="BodyTextbullets125"/>
        <w:rPr>
          <w:lang w:eastAsia="ja-JP"/>
        </w:rPr>
      </w:pPr>
      <w:r>
        <w:rPr>
          <w:lang w:eastAsia="ja-JP"/>
        </w:rPr>
        <w:t>All other bedroom quantities – 15% reduction.</w:t>
      </w:r>
    </w:p>
    <w:p w14:paraId="2D4CECF1" w14:textId="4F76E82C" w:rsidR="00AD3F96" w:rsidRDefault="00AD3F96" w:rsidP="00AD3F96">
      <w:pPr>
        <w:pStyle w:val="Heading3"/>
      </w:pPr>
      <w:bookmarkStart w:id="57" w:name="_Toc154068744"/>
      <w:r w:rsidRPr="00AD3F96">
        <w:t xml:space="preserve">Maximum Interest Rate for </w:t>
      </w:r>
      <w:r w:rsidR="002B4CD3">
        <w:t>Installment</w:t>
      </w:r>
      <w:r w:rsidRPr="00AD3F96">
        <w:t>s and Determination of Charge for Eligible Site Plan and Zoning By-law Amendment Applications</w:t>
      </w:r>
      <w:bookmarkEnd w:id="57"/>
    </w:p>
    <w:p w14:paraId="5005F3A7" w14:textId="1B5B91AB" w:rsidR="00AD3F96" w:rsidRDefault="00AD3F96" w:rsidP="00AD3F96">
      <w:pPr>
        <w:pStyle w:val="BodyText125"/>
        <w:rPr>
          <w:lang w:eastAsia="ja-JP"/>
        </w:rPr>
      </w:pPr>
      <w:r w:rsidRPr="00AD3F96">
        <w:rPr>
          <w:lang w:eastAsia="ja-JP"/>
        </w:rPr>
        <w:t xml:space="preserve">No maximum interest rate was previously prescribed.  As per Bill 23, the maximum interest rate is set at the average prime rate plus 1%.  This maximum interest rate provision would apply to all </w:t>
      </w:r>
      <w:r w:rsidR="002B4CD3">
        <w:rPr>
          <w:lang w:eastAsia="ja-JP"/>
        </w:rPr>
        <w:t>installment</w:t>
      </w:r>
      <w:r w:rsidRPr="00AD3F96">
        <w:rPr>
          <w:lang w:eastAsia="ja-JP"/>
        </w:rPr>
        <w:t xml:space="preserve"> payments and eligible site plan and zoning by-law amendment applications occurring after November 28, 2022.</w:t>
      </w:r>
    </w:p>
    <w:p w14:paraId="564E6DBD" w14:textId="50C11682" w:rsidR="00AD3F96" w:rsidRDefault="00AD3F96" w:rsidP="00AD3F96">
      <w:pPr>
        <w:pStyle w:val="Heading3"/>
      </w:pPr>
      <w:bookmarkStart w:id="58" w:name="_Toc154068745"/>
      <w:r w:rsidRPr="00AD3F96">
        <w:t>Requirement to Allocate Funds Received</w:t>
      </w:r>
      <w:bookmarkEnd w:id="58"/>
    </w:p>
    <w:p w14:paraId="1A896A4C" w14:textId="6D6D0029" w:rsidR="00AD3F96" w:rsidRPr="00AD3F96" w:rsidRDefault="00AD3F96" w:rsidP="00AD3F96">
      <w:pPr>
        <w:pStyle w:val="BodyText125"/>
        <w:rPr>
          <w:lang w:eastAsia="ja-JP"/>
        </w:rPr>
      </w:pPr>
      <w:r w:rsidRPr="00AD3F96">
        <w:rPr>
          <w:lang w:eastAsia="ja-JP"/>
        </w:rPr>
        <w:t>Annually, beginning in 2023, municipalities will be required to spend or allocate at least 60% of the monies in a reserve fund at the beginning of the year for water, wastewater, and services related to a highway.  Other services may be prescribed by the regulation.</w:t>
      </w:r>
    </w:p>
    <w:p w14:paraId="1684759D" w14:textId="25CF43ED" w:rsidR="006B6070" w:rsidRPr="006B6070" w:rsidRDefault="006B6070" w:rsidP="006B6070">
      <w:pPr>
        <w:pStyle w:val="BodyTextbullets125"/>
        <w:sectPr w:rsidR="006B6070" w:rsidRPr="006B6070" w:rsidSect="00F91552">
          <w:footerReference w:type="default" r:id="rId36"/>
          <w:footerReference w:type="first" r:id="rId37"/>
          <w:footnotePr>
            <w:numRestart w:val="eachPage"/>
          </w:footnotePr>
          <w:pgSz w:w="12240" w:h="15840" w:code="1"/>
          <w:pgMar w:top="1440" w:right="1440" w:bottom="1440" w:left="1440" w:header="432" w:footer="619" w:gutter="0"/>
          <w:pgNumType w:start="1" w:chapStyle="1"/>
          <w:cols w:space="708"/>
          <w:titlePg/>
          <w:docGrid w:linePitch="360"/>
        </w:sectPr>
      </w:pPr>
    </w:p>
    <w:p w14:paraId="72A0D49C" w14:textId="7F73739F" w:rsidR="001350F1" w:rsidRPr="00174968" w:rsidRDefault="001350F1" w:rsidP="006A7162">
      <w:pPr>
        <w:pStyle w:val="ChapterDividers"/>
      </w:pPr>
      <w:bookmarkStart w:id="59" w:name="_Toc520822897"/>
      <w:bookmarkStart w:id="60" w:name="_Toc520910942"/>
      <w:bookmarkStart w:id="61" w:name="_Toc520911323"/>
      <w:r w:rsidRPr="001350F1">
        <w:t>Chapter 2</w:t>
      </w:r>
      <w:r w:rsidR="00620725">
        <w:t xml:space="preserve"> </w:t>
      </w:r>
      <w:r w:rsidR="00620725">
        <w:br/>
      </w:r>
      <w:r w:rsidRPr="00372C8C">
        <w:rPr>
          <w:rStyle w:val="ChapterDividersTitleChar"/>
          <w:color w:val="000000"/>
        </w:rPr>
        <w:t xml:space="preserve">Current </w:t>
      </w:r>
      <w:r w:rsidR="00A1355F" w:rsidRPr="00372C8C">
        <w:rPr>
          <w:rStyle w:val="ChapterDividersTitleChar"/>
          <w:color w:val="000000"/>
        </w:rPr>
        <w:t>City</w:t>
      </w:r>
      <w:r w:rsidRPr="00372C8C">
        <w:rPr>
          <w:rStyle w:val="ChapterDividersTitleChar"/>
          <w:color w:val="000000"/>
        </w:rPr>
        <w:t xml:space="preserve"> of </w:t>
      </w:r>
      <w:r w:rsidR="00A1355F" w:rsidRPr="00372C8C">
        <w:rPr>
          <w:rStyle w:val="ChapterDividersTitleChar"/>
          <w:color w:val="000000"/>
        </w:rPr>
        <w:t>Cambridge</w:t>
      </w:r>
      <w:r w:rsidRPr="00372C8C">
        <w:rPr>
          <w:rStyle w:val="ChapterDividersTitleChar"/>
          <w:color w:val="000000"/>
        </w:rPr>
        <w:t xml:space="preserve"> Policy</w:t>
      </w:r>
      <w:bookmarkEnd w:id="59"/>
      <w:bookmarkEnd w:id="60"/>
      <w:bookmarkEnd w:id="61"/>
      <w:r w:rsidRPr="00DC5440">
        <w:t xml:space="preserve"> </w:t>
      </w:r>
    </w:p>
    <w:p w14:paraId="1F0956F1" w14:textId="77777777" w:rsidR="001350F1" w:rsidRPr="00174968" w:rsidRDefault="001350F1" w:rsidP="00551A91">
      <w:pPr>
        <w:pStyle w:val="BodyText125"/>
        <w:sectPr w:rsidR="001350F1" w:rsidRPr="00174968" w:rsidSect="00F91552">
          <w:footerReference w:type="default" r:id="rId38"/>
          <w:footerReference w:type="first" r:id="rId39"/>
          <w:footnotePr>
            <w:numRestart w:val="eachPage"/>
          </w:footnotePr>
          <w:pgSz w:w="12240" w:h="15840" w:code="1"/>
          <w:pgMar w:top="1440" w:right="1440" w:bottom="1440" w:left="1440" w:header="432" w:footer="619" w:gutter="0"/>
          <w:pgNumType w:start="1" w:chapStyle="1"/>
          <w:cols w:space="708"/>
          <w:titlePg/>
          <w:docGrid w:linePitch="360"/>
        </w:sectPr>
      </w:pPr>
    </w:p>
    <w:p w14:paraId="44590F2D" w14:textId="0A2E7EF2" w:rsidR="009648EF" w:rsidRPr="00372C8C" w:rsidRDefault="00551A91" w:rsidP="00F5670B">
      <w:pPr>
        <w:pStyle w:val="Heading1"/>
        <w:rPr>
          <w:noProof/>
        </w:rPr>
      </w:pPr>
      <w:bookmarkStart w:id="62" w:name="_Toc520822898"/>
      <w:bookmarkStart w:id="63" w:name="_Toc520910943"/>
      <w:bookmarkStart w:id="64" w:name="_Toc520911324"/>
      <w:bookmarkStart w:id="65" w:name="_Toc154068746"/>
      <w:r w:rsidRPr="00372C8C">
        <w:t xml:space="preserve">Current </w:t>
      </w:r>
      <w:r w:rsidR="00A1355F" w:rsidRPr="00372C8C">
        <w:t>City</w:t>
      </w:r>
      <w:r w:rsidRPr="00372C8C">
        <w:t xml:space="preserve"> of </w:t>
      </w:r>
      <w:r w:rsidR="00A1355F" w:rsidRPr="00372C8C">
        <w:t>Cambridge</w:t>
      </w:r>
      <w:r w:rsidRPr="00372C8C">
        <w:t xml:space="preserve"> Policy</w:t>
      </w:r>
      <w:bookmarkEnd w:id="62"/>
      <w:bookmarkEnd w:id="63"/>
      <w:bookmarkEnd w:id="64"/>
      <w:bookmarkEnd w:id="65"/>
      <w:r w:rsidRPr="00372C8C">
        <w:rPr>
          <w:noProof/>
        </w:rPr>
        <w:t xml:space="preserve"> </w:t>
      </w:r>
      <w:bookmarkEnd w:id="17"/>
    </w:p>
    <w:p w14:paraId="27A810F5" w14:textId="77777777" w:rsidR="00551A91" w:rsidRPr="00372C8C" w:rsidRDefault="00551A91" w:rsidP="00F43901">
      <w:pPr>
        <w:pStyle w:val="Heading2"/>
        <w:numPr>
          <w:ilvl w:val="1"/>
          <w:numId w:val="9"/>
        </w:numPr>
      </w:pPr>
      <w:bookmarkStart w:id="66" w:name="_Toc520300703"/>
      <w:bookmarkStart w:id="67" w:name="_Toc520822899"/>
      <w:bookmarkStart w:id="68" w:name="_Toc520910944"/>
      <w:bookmarkStart w:id="69" w:name="_Toc520911325"/>
      <w:bookmarkStart w:id="70" w:name="_Toc154068747"/>
      <w:r w:rsidRPr="00372C8C">
        <w:t>Schedule of Charges</w:t>
      </w:r>
      <w:bookmarkEnd w:id="66"/>
      <w:bookmarkEnd w:id="67"/>
      <w:bookmarkEnd w:id="68"/>
      <w:bookmarkEnd w:id="69"/>
      <w:bookmarkEnd w:id="70"/>
    </w:p>
    <w:p w14:paraId="528C0F17" w14:textId="66FA9A4D" w:rsidR="00CE02EF" w:rsidRDefault="00CE02EF" w:rsidP="00551A91">
      <w:pPr>
        <w:pStyle w:val="BodyText125"/>
      </w:pPr>
      <w:r w:rsidRPr="00CE02EF">
        <w:t>On June 18, 2019, the City of Cambridge passed By-law 19-094 under the D.C.A.,</w:t>
      </w:r>
      <w:r>
        <w:t xml:space="preserve"> with an enforcement date of July 1, 2019,</w:t>
      </w:r>
      <w:r w:rsidRPr="00CE02EF">
        <w:t xml:space="preserve"> and was amended with By-law 22-003 on January 18, 2022</w:t>
      </w:r>
      <w:r w:rsidR="00D73590">
        <w:t>, and 22-025 on April 19, 2022.</w:t>
      </w:r>
    </w:p>
    <w:p w14:paraId="5BB7134D" w14:textId="4F9D46D8" w:rsidR="00551A91" w:rsidRDefault="00551A91" w:rsidP="00551A91">
      <w:pPr>
        <w:pStyle w:val="BodyText125"/>
      </w:pPr>
      <w:r w:rsidRPr="00DF6451">
        <w:t>Th</w:t>
      </w:r>
      <w:r w:rsidR="00D73590">
        <w:t>ese</w:t>
      </w:r>
      <w:r w:rsidRPr="00DF6451">
        <w:t xml:space="preserve"> by-law</w:t>
      </w:r>
      <w:r w:rsidR="00D73590">
        <w:t>s</w:t>
      </w:r>
      <w:r w:rsidRPr="00DF6451">
        <w:t xml:space="preserve"> impose </w:t>
      </w:r>
      <w:r>
        <w:t>D.C.</w:t>
      </w:r>
      <w:r w:rsidRPr="00DF6451">
        <w:t xml:space="preserve">s for residential and non-residential uses.  </w:t>
      </w:r>
      <w:r w:rsidR="0065353E">
        <w:t>T</w:t>
      </w:r>
      <w:r w:rsidRPr="00DF6451">
        <w:rPr>
          <w:noProof/>
          <w:lang w:eastAsia="en-CA"/>
        </w:rPr>
        <w:t>able</w:t>
      </w:r>
      <w:r w:rsidR="0065353E">
        <w:rPr>
          <w:noProof/>
          <w:lang w:eastAsia="en-CA"/>
        </w:rPr>
        <w:t xml:space="preserve"> 2-1</w:t>
      </w:r>
      <w:r w:rsidRPr="00DF6451">
        <w:rPr>
          <w:noProof/>
          <w:lang w:eastAsia="en-CA"/>
        </w:rPr>
        <w:t xml:space="preserve"> below</w:t>
      </w:r>
      <w:r w:rsidRPr="00DF6451">
        <w:t xml:space="preserve"> provides the rates currently in </w:t>
      </w:r>
      <w:r w:rsidRPr="00D73590">
        <w:t xml:space="preserve">effect, as at </w:t>
      </w:r>
      <w:r w:rsidR="00D73590" w:rsidRPr="00D73590">
        <w:t>December 1</w:t>
      </w:r>
      <w:r w:rsidR="0065353E" w:rsidRPr="00D73590">
        <w:t>, 20</w:t>
      </w:r>
      <w:r w:rsidR="00D73590" w:rsidRPr="00D73590">
        <w:t>23</w:t>
      </w:r>
      <w:r w:rsidRPr="00D73590">
        <w:t>.</w:t>
      </w:r>
    </w:p>
    <w:p w14:paraId="6A1763E3" w14:textId="77777777" w:rsidR="00551A91" w:rsidRPr="0065353E" w:rsidRDefault="00551A91" w:rsidP="00551A91">
      <w:pPr>
        <w:pStyle w:val="FigureTableTitles"/>
      </w:pPr>
      <w:r w:rsidRPr="0065353E">
        <w:t>Table 2-1</w:t>
      </w:r>
    </w:p>
    <w:p w14:paraId="1E5FF620" w14:textId="383A6C63" w:rsidR="00551A91" w:rsidRDefault="00A1355F" w:rsidP="00551A91">
      <w:pPr>
        <w:pStyle w:val="FigureTableTitles"/>
      </w:pPr>
      <w:r w:rsidRPr="0065353E">
        <w:t>City</w:t>
      </w:r>
      <w:r w:rsidR="00551A91" w:rsidRPr="0065353E">
        <w:t xml:space="preserve"> of </w:t>
      </w:r>
      <w:r w:rsidRPr="0065353E">
        <w:t>Cambridge</w:t>
      </w:r>
    </w:p>
    <w:p w14:paraId="6271EA5C" w14:textId="3C92F852" w:rsidR="00551A91" w:rsidRDefault="00551A91" w:rsidP="00551A91">
      <w:pPr>
        <w:pStyle w:val="FigureTableTitles"/>
      </w:pPr>
      <w:r>
        <w:t>Current D.C. Rates</w:t>
      </w:r>
    </w:p>
    <w:p w14:paraId="6D4D485D" w14:textId="520CF2D8" w:rsidR="0065353E" w:rsidRDefault="00D73590" w:rsidP="00551A91">
      <w:pPr>
        <w:pStyle w:val="FigureTableTitles"/>
      </w:pPr>
      <w:r w:rsidRPr="00D73590">
        <w:t>December 1</w:t>
      </w:r>
      <w:r w:rsidR="0065353E" w:rsidRPr="00D73590">
        <w:t>, 20</w:t>
      </w:r>
      <w:r w:rsidRPr="00D73590">
        <w:t>23</w:t>
      </w:r>
    </w:p>
    <w:p w14:paraId="4738C93A" w14:textId="6F73E00F" w:rsidR="00551A91" w:rsidRPr="00DF6451" w:rsidRDefault="00AE5186" w:rsidP="00AE5186">
      <w:pPr>
        <w:pStyle w:val="BodyText"/>
        <w:jc w:val="center"/>
        <w:rPr>
          <w:iCs/>
        </w:rPr>
      </w:pPr>
      <w:r w:rsidRPr="00AE5186">
        <w:rPr>
          <w:noProof/>
        </w:rPr>
        <w:drawing>
          <wp:inline distT="0" distB="0" distL="0" distR="0" wp14:anchorId="1F45558E" wp14:editId="71AB32F2">
            <wp:extent cx="5943600" cy="2665730"/>
            <wp:effectExtent l="0" t="0" r="0" b="1270"/>
            <wp:docPr id="318863783" name="Picture 1" descr="This table outlines the development charge rates currently in effect in the Township of Springwater as of December 1,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63783" name="Picture 1" descr="This table outlines the development charge rates currently in effect in the Township of Springwater as of December 1, 20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665730"/>
                    </a:xfrm>
                    <a:prstGeom prst="rect">
                      <a:avLst/>
                    </a:prstGeom>
                    <a:noFill/>
                    <a:ln>
                      <a:noFill/>
                    </a:ln>
                  </pic:spPr>
                </pic:pic>
              </a:graphicData>
            </a:graphic>
          </wp:inline>
        </w:drawing>
      </w:r>
    </w:p>
    <w:p w14:paraId="688C8EEF" w14:textId="77777777" w:rsidR="00551A91" w:rsidRPr="00DF6451" w:rsidRDefault="00551A91" w:rsidP="00B16524">
      <w:pPr>
        <w:pStyle w:val="Heading2"/>
        <w:numPr>
          <w:ilvl w:val="1"/>
          <w:numId w:val="3"/>
        </w:numPr>
      </w:pPr>
      <w:bookmarkStart w:id="71" w:name="_Toc494292971"/>
      <w:bookmarkStart w:id="72" w:name="_Toc520300704"/>
      <w:bookmarkStart w:id="73" w:name="_Toc520822900"/>
      <w:bookmarkStart w:id="74" w:name="_Toc520910945"/>
      <w:bookmarkStart w:id="75" w:name="_Toc520911326"/>
      <w:bookmarkStart w:id="76" w:name="_Toc154068748"/>
      <w:r w:rsidRPr="00DF6451">
        <w:t>Services Covered</w:t>
      </w:r>
      <w:bookmarkEnd w:id="71"/>
      <w:bookmarkEnd w:id="72"/>
      <w:bookmarkEnd w:id="73"/>
      <w:bookmarkEnd w:id="74"/>
      <w:bookmarkEnd w:id="75"/>
      <w:bookmarkEnd w:id="76"/>
    </w:p>
    <w:p w14:paraId="735450FF" w14:textId="46011B02" w:rsidR="00551A91" w:rsidRPr="00DF6451" w:rsidRDefault="00551A91" w:rsidP="00551A91">
      <w:pPr>
        <w:pStyle w:val="BodyText125"/>
      </w:pPr>
      <w:r w:rsidRPr="00DF6451">
        <w:t xml:space="preserve">The following services </w:t>
      </w:r>
      <w:r>
        <w:t xml:space="preserve">are </w:t>
      </w:r>
      <w:r w:rsidRPr="00DF6451">
        <w:t>covered under By-law</w:t>
      </w:r>
      <w:r w:rsidR="00AE5186">
        <w:t>s</w:t>
      </w:r>
      <w:r w:rsidRPr="00DF6451">
        <w:t xml:space="preserve"> </w:t>
      </w:r>
      <w:r w:rsidR="00B21242">
        <w:t>19-094</w:t>
      </w:r>
      <w:r>
        <w:t xml:space="preserve"> (as amended</w:t>
      </w:r>
      <w:r w:rsidR="006E2DA3">
        <w:t xml:space="preserve"> </w:t>
      </w:r>
      <w:r w:rsidR="004518C9">
        <w:t>by</w:t>
      </w:r>
      <w:r w:rsidR="006E2DA3">
        <w:t xml:space="preserve"> By-law</w:t>
      </w:r>
      <w:r w:rsidR="00AE5186">
        <w:t>s</w:t>
      </w:r>
      <w:r w:rsidR="006E2DA3">
        <w:t xml:space="preserve"> </w:t>
      </w:r>
      <w:r w:rsidR="0062024F">
        <w:t>22-003</w:t>
      </w:r>
      <w:r w:rsidR="00AE5186">
        <w:t xml:space="preserve"> and 22-025</w:t>
      </w:r>
      <w:r>
        <w:t>)</w:t>
      </w:r>
      <w:r w:rsidRPr="00DF6451">
        <w:t>:</w:t>
      </w:r>
    </w:p>
    <w:p w14:paraId="0F850085" w14:textId="67BFB2BF" w:rsidR="00551A91" w:rsidRDefault="00D855B1" w:rsidP="00551A91">
      <w:pPr>
        <w:pStyle w:val="BodyTextbullets125"/>
      </w:pPr>
      <w:r>
        <w:t>Services Related to a Highway</w:t>
      </w:r>
      <w:r w:rsidR="00663815">
        <w:t>;</w:t>
      </w:r>
    </w:p>
    <w:p w14:paraId="403929E5" w14:textId="582A74F6" w:rsidR="00D855B1" w:rsidRDefault="00D855B1" w:rsidP="00551A91">
      <w:pPr>
        <w:pStyle w:val="BodyTextbullets125"/>
      </w:pPr>
      <w:r>
        <w:t>Public Works;</w:t>
      </w:r>
    </w:p>
    <w:p w14:paraId="4679A411" w14:textId="5AC236DD" w:rsidR="00551A91" w:rsidRPr="00DF6451" w:rsidRDefault="00551A91" w:rsidP="00551A91">
      <w:pPr>
        <w:pStyle w:val="BodyTextbullets125"/>
      </w:pPr>
      <w:r w:rsidRPr="00DF6451">
        <w:t xml:space="preserve">Fire </w:t>
      </w:r>
      <w:r w:rsidR="00D855B1">
        <w:t>P</w:t>
      </w:r>
      <w:r w:rsidRPr="00DF6451">
        <w:t>rotection</w:t>
      </w:r>
      <w:r w:rsidR="00D855B1">
        <w:t xml:space="preserve"> Services</w:t>
      </w:r>
      <w:r w:rsidRPr="00DF6451">
        <w:t>;</w:t>
      </w:r>
    </w:p>
    <w:p w14:paraId="386D9C7B" w14:textId="290E5A5D" w:rsidR="00551A91" w:rsidRPr="00DF6451" w:rsidRDefault="00D855B1" w:rsidP="00551A91">
      <w:pPr>
        <w:pStyle w:val="BodyTextbullets125"/>
      </w:pPr>
      <w:r>
        <w:t>Parks and</w:t>
      </w:r>
      <w:r w:rsidR="00551A91">
        <w:t xml:space="preserve"> </w:t>
      </w:r>
      <w:r>
        <w:t>R</w:t>
      </w:r>
      <w:r w:rsidR="00551A91">
        <w:t>ecreation</w:t>
      </w:r>
      <w:r>
        <w:t xml:space="preserve"> Services</w:t>
      </w:r>
      <w:r w:rsidR="00551A91" w:rsidRPr="00DF6451">
        <w:t>;</w:t>
      </w:r>
    </w:p>
    <w:p w14:paraId="3541CEB1" w14:textId="48D68802" w:rsidR="00551A91" w:rsidRDefault="00551A91" w:rsidP="00551A91">
      <w:pPr>
        <w:pStyle w:val="BodyTextbullets125"/>
      </w:pPr>
      <w:r>
        <w:t>Library</w:t>
      </w:r>
      <w:r w:rsidR="00D855B1">
        <w:t xml:space="preserve"> Services</w:t>
      </w:r>
      <w:r w:rsidRPr="00DF6451">
        <w:t>;</w:t>
      </w:r>
    </w:p>
    <w:p w14:paraId="692C9887" w14:textId="5AD8189A" w:rsidR="00D855B1" w:rsidRPr="00DF6451" w:rsidRDefault="00D855B1" w:rsidP="00551A91">
      <w:pPr>
        <w:pStyle w:val="BodyTextbullets125"/>
      </w:pPr>
      <w:r>
        <w:t xml:space="preserve">Growth Studies; </w:t>
      </w:r>
    </w:p>
    <w:p w14:paraId="68DD4C59" w14:textId="49967896" w:rsidR="00551A91" w:rsidRDefault="00D855B1" w:rsidP="00551A91">
      <w:pPr>
        <w:pStyle w:val="BodyTextbullets125"/>
      </w:pPr>
      <w:r>
        <w:t>Water Services;</w:t>
      </w:r>
    </w:p>
    <w:p w14:paraId="2C9CF806" w14:textId="0143D80B" w:rsidR="00D855B1" w:rsidRDefault="00D855B1" w:rsidP="00551A91">
      <w:pPr>
        <w:pStyle w:val="BodyTextbullets125"/>
      </w:pPr>
      <w:r>
        <w:t xml:space="preserve">Wastewater Services; and </w:t>
      </w:r>
    </w:p>
    <w:p w14:paraId="22C3DF8F" w14:textId="366EF7BE" w:rsidR="00D855B1" w:rsidRPr="00DF6451" w:rsidRDefault="00D855B1" w:rsidP="00551A91">
      <w:pPr>
        <w:pStyle w:val="BodyTextbullets125"/>
      </w:pPr>
      <w:r>
        <w:t>Stormwater Services.</w:t>
      </w:r>
    </w:p>
    <w:p w14:paraId="59CA72D5" w14:textId="77777777" w:rsidR="00551A91" w:rsidRPr="00DF6451" w:rsidRDefault="00551A91" w:rsidP="00B16524">
      <w:pPr>
        <w:pStyle w:val="Heading2"/>
        <w:numPr>
          <w:ilvl w:val="1"/>
          <w:numId w:val="3"/>
        </w:numPr>
      </w:pPr>
      <w:bookmarkStart w:id="77" w:name="_Toc494292972"/>
      <w:bookmarkStart w:id="78" w:name="_Toc520300705"/>
      <w:bookmarkStart w:id="79" w:name="_Toc520822901"/>
      <w:bookmarkStart w:id="80" w:name="_Toc520910946"/>
      <w:bookmarkStart w:id="81" w:name="_Toc520911327"/>
      <w:bookmarkStart w:id="82" w:name="_Toc154068749"/>
      <w:r w:rsidRPr="00DF6451">
        <w:t xml:space="preserve">Timing of </w:t>
      </w:r>
      <w:r>
        <w:t>D.C.</w:t>
      </w:r>
      <w:r w:rsidRPr="00DF6451">
        <w:t xml:space="preserve"> Calculation and Payment</w:t>
      </w:r>
      <w:bookmarkEnd w:id="77"/>
      <w:bookmarkEnd w:id="78"/>
      <w:bookmarkEnd w:id="79"/>
      <w:bookmarkEnd w:id="80"/>
      <w:bookmarkEnd w:id="81"/>
      <w:bookmarkEnd w:id="82"/>
    </w:p>
    <w:p w14:paraId="3B4D31FF" w14:textId="77777777" w:rsidR="004518C9" w:rsidRDefault="004518C9" w:rsidP="00551A91">
      <w:pPr>
        <w:pStyle w:val="BodyText125"/>
      </w:pPr>
      <w:r>
        <w:t xml:space="preserve">For public works, fire, parks and recreation, library, and growth studies, </w:t>
      </w:r>
      <w:r w:rsidR="00551A91">
        <w:t>D.C.</w:t>
      </w:r>
      <w:r w:rsidR="00551A91" w:rsidRPr="00DF6451">
        <w:t>s are payable at the time of</w:t>
      </w:r>
      <w:r w:rsidR="00D855B1">
        <w:t xml:space="preserve"> first</w:t>
      </w:r>
      <w:r w:rsidR="00551A91" w:rsidRPr="00DF6451">
        <w:t xml:space="preserve"> building permit issuance </w:t>
      </w:r>
      <w:r w:rsidR="00683BCD">
        <w:t xml:space="preserve">in relation to a building or structure on land to which a D.C. applies and until the D.C. has been paid in full, </w:t>
      </w:r>
      <w:r w:rsidR="00551A91" w:rsidRPr="00DF6451">
        <w:t xml:space="preserve">and are collected by the </w:t>
      </w:r>
      <w:r w:rsidR="00A1355F" w:rsidRPr="00D855B1">
        <w:t>City</w:t>
      </w:r>
      <w:r w:rsidR="00551A91" w:rsidRPr="00D855B1">
        <w:t xml:space="preserve"> of </w:t>
      </w:r>
      <w:r w:rsidR="00A1355F" w:rsidRPr="00D855B1">
        <w:t>Cambridge</w:t>
      </w:r>
      <w:r w:rsidR="00683BCD">
        <w:t>.</w:t>
      </w:r>
    </w:p>
    <w:p w14:paraId="46A43357" w14:textId="620DC472" w:rsidR="00551A91" w:rsidRPr="00DF6451" w:rsidRDefault="004518C9" w:rsidP="00551A91">
      <w:pPr>
        <w:pStyle w:val="BodyText125"/>
      </w:pPr>
      <w:r>
        <w:t>For services related to a highway, water, wastewater, and stormwater services, D.C.s are collected at the time of subdivision agreement.</w:t>
      </w:r>
      <w:r w:rsidR="00683BCD">
        <w:t xml:space="preserve">  </w:t>
      </w:r>
    </w:p>
    <w:p w14:paraId="245261E8" w14:textId="77777777" w:rsidR="00551A91" w:rsidRPr="00DF6451" w:rsidRDefault="00551A91" w:rsidP="00B16524">
      <w:pPr>
        <w:pStyle w:val="Heading2"/>
        <w:numPr>
          <w:ilvl w:val="1"/>
          <w:numId w:val="3"/>
        </w:numPr>
      </w:pPr>
      <w:bookmarkStart w:id="83" w:name="_Toc494292973"/>
      <w:bookmarkStart w:id="84" w:name="_Toc520300706"/>
      <w:bookmarkStart w:id="85" w:name="_Toc520822902"/>
      <w:bookmarkStart w:id="86" w:name="_Toc520910947"/>
      <w:bookmarkStart w:id="87" w:name="_Toc520911328"/>
      <w:bookmarkStart w:id="88" w:name="_Toc154068750"/>
      <w:r w:rsidRPr="00DF6451">
        <w:t>Indexing</w:t>
      </w:r>
      <w:bookmarkEnd w:id="83"/>
      <w:bookmarkEnd w:id="84"/>
      <w:bookmarkEnd w:id="85"/>
      <w:bookmarkEnd w:id="86"/>
      <w:bookmarkEnd w:id="87"/>
      <w:bookmarkEnd w:id="88"/>
    </w:p>
    <w:p w14:paraId="0782B7D5" w14:textId="59429E21" w:rsidR="00551A91" w:rsidRPr="00DF6451" w:rsidRDefault="00551A91" w:rsidP="00551A91">
      <w:pPr>
        <w:pStyle w:val="BodyText125"/>
      </w:pPr>
      <w:r w:rsidRPr="00DF6451">
        <w:t xml:space="preserve">Rates shall be indexed </w:t>
      </w:r>
      <w:r w:rsidR="00D855B1">
        <w:t>annually on December 1</w:t>
      </w:r>
      <w:r w:rsidR="00D855B1" w:rsidRPr="00D855B1">
        <w:rPr>
          <w:vertAlign w:val="superscript"/>
        </w:rPr>
        <w:t>st</w:t>
      </w:r>
      <w:r w:rsidR="00D855B1">
        <w:t xml:space="preserve"> </w:t>
      </w:r>
      <w:r w:rsidR="00E76049">
        <w:t>each year, without amendment to the by-law, in accordance with the Statistics Canada Quarterly Construction Price Statistics, catalogue number 62-007.</w:t>
      </w:r>
    </w:p>
    <w:p w14:paraId="3CD322D9" w14:textId="77777777" w:rsidR="00551A91" w:rsidRPr="000F671D" w:rsidRDefault="00551A91" w:rsidP="00B16524">
      <w:pPr>
        <w:pStyle w:val="Heading2"/>
        <w:numPr>
          <w:ilvl w:val="1"/>
          <w:numId w:val="3"/>
        </w:numPr>
      </w:pPr>
      <w:bookmarkStart w:id="89" w:name="_Toc494292974"/>
      <w:bookmarkStart w:id="90" w:name="_Toc520300707"/>
      <w:bookmarkStart w:id="91" w:name="_Toc520822903"/>
      <w:bookmarkStart w:id="92" w:name="_Toc520910948"/>
      <w:bookmarkStart w:id="93" w:name="_Toc520911329"/>
      <w:bookmarkStart w:id="94" w:name="_Toc154068751"/>
      <w:r w:rsidRPr="000F671D">
        <w:t>Redevelopment Allowance</w:t>
      </w:r>
      <w:bookmarkEnd w:id="89"/>
      <w:bookmarkEnd w:id="90"/>
      <w:bookmarkEnd w:id="91"/>
      <w:bookmarkEnd w:id="92"/>
      <w:bookmarkEnd w:id="93"/>
      <w:bookmarkEnd w:id="94"/>
    </w:p>
    <w:p w14:paraId="42F10D8B" w14:textId="1A44EB07" w:rsidR="002C639F" w:rsidRDefault="002C639F" w:rsidP="00551A91">
      <w:pPr>
        <w:pStyle w:val="BodyText125"/>
      </w:pPr>
      <w:r>
        <w:t>Where a D.C. is payable for a development which replaces a pre-existing development including a change of use in an existing building, a redevelopment allowance shall be credited against the D.C. otherwise payable.</w:t>
      </w:r>
    </w:p>
    <w:p w14:paraId="5013C0E5" w14:textId="49D80D9E" w:rsidR="002C639F" w:rsidRDefault="002C639F" w:rsidP="00551A91">
      <w:pPr>
        <w:pStyle w:val="BodyText125"/>
      </w:pPr>
      <w:r>
        <w:t>In order to be eligible for a re-development allowance:</w:t>
      </w:r>
    </w:p>
    <w:p w14:paraId="34112BB4" w14:textId="3F9B2402" w:rsidR="00551A91" w:rsidRPr="006A6432" w:rsidRDefault="002C639F" w:rsidP="00F43901">
      <w:pPr>
        <w:pStyle w:val="BodyText125"/>
        <w:numPr>
          <w:ilvl w:val="0"/>
          <w:numId w:val="8"/>
        </w:numPr>
      </w:pPr>
      <w:r>
        <w:t xml:space="preserve">The pre-existing development </w:t>
      </w:r>
      <w:r w:rsidR="0035527D">
        <w:t xml:space="preserve">must </w:t>
      </w:r>
      <w:r>
        <w:t>be one in respect to which a valid demolition permit or demolition control permit was issued by the City within the five (5) years, related to a residential use or ten (10) years, for a non-residential use, preceding the due date of payment of the D.C. and such demolition permit, demolition control permit or a certified copy thereof; and</w:t>
      </w:r>
    </w:p>
    <w:p w14:paraId="11C66D36" w14:textId="3C3F7512" w:rsidR="00551A91" w:rsidRDefault="00A65E55" w:rsidP="00F43901">
      <w:pPr>
        <w:pStyle w:val="BodyText125"/>
        <w:numPr>
          <w:ilvl w:val="0"/>
          <w:numId w:val="8"/>
        </w:numPr>
      </w:pPr>
      <w:r>
        <w:t xml:space="preserve">Proof must be provided to the Chief Building Official’s satisfaction that the development meets the requirements set out in </w:t>
      </w:r>
      <w:r w:rsidR="004518C9">
        <w:t>the by-law</w:t>
      </w:r>
      <w:r>
        <w:t>.</w:t>
      </w:r>
    </w:p>
    <w:p w14:paraId="59C5CBBB" w14:textId="1FCA219F" w:rsidR="00A65E55" w:rsidRDefault="00A65E55" w:rsidP="00F43901">
      <w:pPr>
        <w:pStyle w:val="BodyText125"/>
        <w:numPr>
          <w:ilvl w:val="0"/>
          <w:numId w:val="8"/>
        </w:numPr>
      </w:pPr>
      <w:r>
        <w:t xml:space="preserve">In situations where buildings are destroyed by fire or other unplanned events, sections </w:t>
      </w:r>
      <w:r w:rsidR="004518C9">
        <w:t>items a) and b)</w:t>
      </w:r>
      <w:r>
        <w:t xml:space="preserve"> apply upon proof satisfactory to the City’s Chief Building Official if there was not an issued demolition permit.</w:t>
      </w:r>
    </w:p>
    <w:p w14:paraId="128294A6" w14:textId="19D2E917" w:rsidR="00A65E55" w:rsidRDefault="00A65E55" w:rsidP="00A65E55">
      <w:pPr>
        <w:pStyle w:val="BodyText125"/>
      </w:pPr>
      <w:r>
        <w:t xml:space="preserve">If the land is engaged in a brownfield redevelopment, a redevelopment period longer than the time set out in </w:t>
      </w:r>
      <w:r w:rsidR="004518C9">
        <w:t>item a) above</w:t>
      </w:r>
      <w:r>
        <w:t xml:space="preserve"> may be provided based upon the approval by the City’s Deputy City Manager of Community Development or designate in consultation with the Chief Building Official, and applicable Regional Commissioner after consideration of specific development circumstances.</w:t>
      </w:r>
    </w:p>
    <w:p w14:paraId="2566EFF7" w14:textId="17328539" w:rsidR="00A65E55" w:rsidRDefault="00A65E55" w:rsidP="00A65E55">
      <w:pPr>
        <w:pStyle w:val="BodyText125"/>
      </w:pPr>
      <w:r>
        <w:t>In determining eligibility for a re-development allowance:</w:t>
      </w:r>
    </w:p>
    <w:p w14:paraId="55EF1A5A" w14:textId="7C807604" w:rsidR="00A65E55" w:rsidRDefault="00A65E55" w:rsidP="00F43901">
      <w:pPr>
        <w:pStyle w:val="BodyText125"/>
        <w:numPr>
          <w:ilvl w:val="0"/>
          <w:numId w:val="25"/>
        </w:numPr>
      </w:pPr>
      <w:r>
        <w:t>Demolition shall be deemed to have occurred on the date of the issuance of the demolition permit or demolition control permit;</w:t>
      </w:r>
    </w:p>
    <w:p w14:paraId="175107FD" w14:textId="1852B97B" w:rsidR="00A65E55" w:rsidRDefault="00A65E55" w:rsidP="00F43901">
      <w:pPr>
        <w:pStyle w:val="BodyText125"/>
        <w:numPr>
          <w:ilvl w:val="0"/>
          <w:numId w:val="25"/>
        </w:numPr>
      </w:pPr>
      <w:r>
        <w:t xml:space="preserve">“demolition permit” or “demolition control permit” shall mean the first of any demolition permits or demolition control permits issued for the pre-existing development, if the demolition has taken place in more that one phase.  Subsequent demolition permits or demolition control permits for that pre-existing development are not to be used in a calculation of the periods set out </w:t>
      </w:r>
      <w:r w:rsidR="004518C9">
        <w:t>above</w:t>
      </w:r>
      <w:r>
        <w:t>; and</w:t>
      </w:r>
    </w:p>
    <w:p w14:paraId="7112BE66" w14:textId="71BD1905" w:rsidR="00A65E55" w:rsidRDefault="00A65E55" w:rsidP="00F43901">
      <w:pPr>
        <w:pStyle w:val="BodyText125"/>
        <w:numPr>
          <w:ilvl w:val="0"/>
          <w:numId w:val="25"/>
        </w:numPr>
      </w:pPr>
      <w:r>
        <w:t xml:space="preserve">The date calculated </w:t>
      </w:r>
      <w:r w:rsidR="004518C9">
        <w:t>above</w:t>
      </w:r>
      <w:r>
        <w:t xml:space="preserve"> shall apply regardless of whether the first demolition permit or demolition control permit was revoked or canceled.</w:t>
      </w:r>
    </w:p>
    <w:p w14:paraId="19350C82" w14:textId="054F314D" w:rsidR="00A65E55" w:rsidRDefault="00A65E55" w:rsidP="00A65E55">
      <w:pPr>
        <w:pStyle w:val="BodyText125"/>
        <w:rPr>
          <w:b/>
          <w:bCs/>
          <w:u w:val="single"/>
        </w:rPr>
      </w:pPr>
      <w:r w:rsidRPr="00A65E55">
        <w:rPr>
          <w:b/>
          <w:bCs/>
          <w:u w:val="single"/>
        </w:rPr>
        <w:t>Calculation of Re-development Allowance</w:t>
      </w:r>
    </w:p>
    <w:p w14:paraId="6A8F23C8" w14:textId="0D902413" w:rsidR="00A65E55" w:rsidRDefault="00B7423E" w:rsidP="00A65E55">
      <w:pPr>
        <w:pStyle w:val="BodyText125"/>
      </w:pPr>
      <w:r>
        <w:t>In determining the amount of any re-development allowance to be applied in calculating a D.C. payable, the following shall apply:</w:t>
      </w:r>
    </w:p>
    <w:p w14:paraId="2C2F7091" w14:textId="031894DD" w:rsidR="00B7423E" w:rsidRDefault="00B7423E" w:rsidP="00F43901">
      <w:pPr>
        <w:pStyle w:val="BodyText125"/>
        <w:numPr>
          <w:ilvl w:val="0"/>
          <w:numId w:val="26"/>
        </w:numPr>
      </w:pPr>
      <w:r>
        <w:t xml:space="preserve">The re-development allowance quantified in accordance with </w:t>
      </w:r>
      <w:r w:rsidR="004518C9">
        <w:t>the by-law</w:t>
      </w:r>
      <w:r>
        <w:t xml:space="preserve"> shall apply to the whole parcel of land on which the pre-existing development exists or existed;</w:t>
      </w:r>
    </w:p>
    <w:p w14:paraId="7B6CA32A" w14:textId="1BD6D81C" w:rsidR="00B7423E" w:rsidRDefault="00B7423E" w:rsidP="00F43901">
      <w:pPr>
        <w:pStyle w:val="BodyText125"/>
        <w:numPr>
          <w:ilvl w:val="0"/>
          <w:numId w:val="26"/>
        </w:numPr>
      </w:pPr>
      <w:r>
        <w:t>Any remaining re-development allowance applicable to a parcel of land from time to time, in the event of a division of the parcel of land into two or more parcels, shall be apportioned equally between or amongst the resultant parcels of land on a per unit area basis;</w:t>
      </w:r>
    </w:p>
    <w:p w14:paraId="14DB8A8E" w14:textId="35E0493D" w:rsidR="00B7423E" w:rsidRDefault="00B7423E" w:rsidP="00F43901">
      <w:pPr>
        <w:pStyle w:val="BodyText125"/>
        <w:numPr>
          <w:ilvl w:val="0"/>
          <w:numId w:val="26"/>
        </w:numPr>
      </w:pPr>
      <w:r>
        <w:t>The amount of the re-development allowance applicable to a parcel of land on which the pre-existing development existed or to any part of thereof after any land division shall be reduced for each subsequent development in respect of which the D.C. otherwise payable is or has been reduced by a re-development allowance, as building permits for such subsequent developments are issued or D.C. Paid, whichever first occurs.</w:t>
      </w:r>
    </w:p>
    <w:p w14:paraId="0C0D9318" w14:textId="25ACEF3F" w:rsidR="00B7423E" w:rsidRDefault="00B7423E" w:rsidP="00B7423E">
      <w:pPr>
        <w:pStyle w:val="BodyText125"/>
        <w:rPr>
          <w:b/>
          <w:bCs/>
          <w:u w:val="single"/>
        </w:rPr>
      </w:pPr>
      <w:r>
        <w:rPr>
          <w:b/>
          <w:bCs/>
          <w:u w:val="single"/>
        </w:rPr>
        <w:t>Amount of Re-development Allowance</w:t>
      </w:r>
    </w:p>
    <w:p w14:paraId="4EF4AE3B" w14:textId="43DF919C" w:rsidR="00B7423E" w:rsidRDefault="00B7423E" w:rsidP="00F43901">
      <w:pPr>
        <w:pStyle w:val="BodyText125"/>
        <w:numPr>
          <w:ilvl w:val="0"/>
          <w:numId w:val="27"/>
        </w:numPr>
      </w:pPr>
      <w:r>
        <w:t>The amount of the re-development allowance shall be computed based upon the previous land use equal to:</w:t>
      </w:r>
    </w:p>
    <w:p w14:paraId="5D115A11" w14:textId="6160B6CE" w:rsidR="00B7423E" w:rsidRDefault="00B7423E" w:rsidP="00F43901">
      <w:pPr>
        <w:pStyle w:val="BodyText125"/>
        <w:numPr>
          <w:ilvl w:val="1"/>
          <w:numId w:val="27"/>
        </w:numPr>
        <w:ind w:hanging="180"/>
      </w:pPr>
      <w:r>
        <w:t>For residential uses, the number and type or types of units in the preexisting development multiplied by the D.C. rate or rates applicable to such units; and,</w:t>
      </w:r>
    </w:p>
    <w:p w14:paraId="201AD4B0" w14:textId="2D912778" w:rsidR="00B7423E" w:rsidRDefault="00B7423E" w:rsidP="00F43901">
      <w:pPr>
        <w:pStyle w:val="BodyText125"/>
        <w:numPr>
          <w:ilvl w:val="1"/>
          <w:numId w:val="27"/>
        </w:numPr>
        <w:ind w:hanging="180"/>
      </w:pPr>
      <w:r>
        <w:t>For non-residential uses, the number of square meters of building area of the pre-existing development multiplied by the D.C. rate applicable to such building area.</w:t>
      </w:r>
    </w:p>
    <w:p w14:paraId="0F337C38" w14:textId="45C2DAE4" w:rsidR="00B7423E" w:rsidRDefault="00B7423E" w:rsidP="00B7423E">
      <w:pPr>
        <w:pStyle w:val="BodyText125"/>
        <w:rPr>
          <w:b/>
          <w:bCs/>
          <w:u w:val="single"/>
        </w:rPr>
      </w:pPr>
      <w:r>
        <w:rPr>
          <w:b/>
          <w:bCs/>
          <w:u w:val="single"/>
        </w:rPr>
        <w:t>Maximum Re-development Allowance and Carry Forward</w:t>
      </w:r>
    </w:p>
    <w:p w14:paraId="3E90DAF9" w14:textId="6113A4D2" w:rsidR="00B7423E" w:rsidRPr="00B7423E" w:rsidRDefault="00B7423E" w:rsidP="00B7423E">
      <w:pPr>
        <w:pStyle w:val="BodyText125"/>
      </w:pPr>
      <w:r>
        <w:t xml:space="preserve">The maximum re-development allowance shall be the D.C. otherwise payable.  Any unused re-development allowance may be carried forward and applied to any subsequent D.C. payable in respect of the same land to which it relates within five (5) years from the date of demolition of the pre-existing development to which it relates. </w:t>
      </w:r>
    </w:p>
    <w:p w14:paraId="51911586" w14:textId="77777777" w:rsidR="00551A91" w:rsidRPr="00256506" w:rsidRDefault="00551A91" w:rsidP="00B16524">
      <w:pPr>
        <w:pStyle w:val="Heading2"/>
        <w:numPr>
          <w:ilvl w:val="1"/>
          <w:numId w:val="3"/>
        </w:numPr>
      </w:pPr>
      <w:bookmarkStart w:id="95" w:name="_Toc494292975"/>
      <w:bookmarkStart w:id="96" w:name="_Toc520300708"/>
      <w:bookmarkStart w:id="97" w:name="_Toc520822904"/>
      <w:bookmarkStart w:id="98" w:name="_Toc520910949"/>
      <w:bookmarkStart w:id="99" w:name="_Toc520911330"/>
      <w:bookmarkStart w:id="100" w:name="_Toc154068752"/>
      <w:r w:rsidRPr="00256506">
        <w:t>Exemptions</w:t>
      </w:r>
      <w:bookmarkEnd w:id="95"/>
      <w:bookmarkEnd w:id="96"/>
      <w:bookmarkEnd w:id="97"/>
      <w:bookmarkEnd w:id="98"/>
      <w:bookmarkEnd w:id="99"/>
      <w:bookmarkEnd w:id="100"/>
    </w:p>
    <w:p w14:paraId="45F3912B" w14:textId="415C8150" w:rsidR="00551A91" w:rsidRPr="00256506" w:rsidRDefault="00551A91" w:rsidP="00551A91">
      <w:pPr>
        <w:pStyle w:val="BodyText125"/>
      </w:pPr>
      <w:r w:rsidRPr="00256506">
        <w:t>The following non-statutory exemptions are provided under By-law</w:t>
      </w:r>
      <w:r>
        <w:t xml:space="preserve"> </w:t>
      </w:r>
      <w:r w:rsidR="00B21242">
        <w:t>19-094</w:t>
      </w:r>
      <w:r w:rsidR="00E913F2">
        <w:t>, as amended:</w:t>
      </w:r>
    </w:p>
    <w:p w14:paraId="70A1F31E" w14:textId="08CA644E" w:rsidR="007821DA" w:rsidRDefault="007821DA" w:rsidP="00551A91">
      <w:pPr>
        <w:pStyle w:val="BodyTextbullets125"/>
        <w:rPr>
          <w:lang w:eastAsia="en-CA"/>
        </w:rPr>
      </w:pPr>
      <w:r>
        <w:rPr>
          <w:lang w:eastAsia="en-CA"/>
        </w:rPr>
        <w:t>Grand River Conservation Authority;</w:t>
      </w:r>
    </w:p>
    <w:p w14:paraId="00E0D374" w14:textId="7ECF2E62" w:rsidR="007821DA" w:rsidRDefault="007821DA" w:rsidP="00551A91">
      <w:pPr>
        <w:pStyle w:val="BodyTextbullets125"/>
        <w:rPr>
          <w:lang w:eastAsia="en-CA"/>
        </w:rPr>
      </w:pPr>
      <w:r>
        <w:rPr>
          <w:lang w:eastAsia="en-CA"/>
        </w:rPr>
        <w:t>Hospitals;</w:t>
      </w:r>
    </w:p>
    <w:p w14:paraId="36018C1E" w14:textId="59496B30" w:rsidR="002C714A" w:rsidRDefault="002C714A" w:rsidP="00551A91">
      <w:pPr>
        <w:pStyle w:val="BodyTextbullets125"/>
        <w:rPr>
          <w:lang w:eastAsia="en-CA"/>
        </w:rPr>
      </w:pPr>
      <w:r>
        <w:rPr>
          <w:lang w:eastAsia="en-CA"/>
        </w:rPr>
        <w:t>Contaminated sites;</w:t>
      </w:r>
    </w:p>
    <w:p w14:paraId="4623B3E4" w14:textId="77777777" w:rsidR="002C714A" w:rsidRDefault="002C714A" w:rsidP="00551A91">
      <w:pPr>
        <w:pStyle w:val="BodyTextbullets125"/>
        <w:rPr>
          <w:lang w:eastAsia="en-CA"/>
        </w:rPr>
      </w:pPr>
      <w:r>
        <w:rPr>
          <w:lang w:eastAsia="en-CA"/>
        </w:rPr>
        <w:t>Temporary uses (not exceeding 6 consecutive months);</w:t>
      </w:r>
    </w:p>
    <w:p w14:paraId="5E1A725C" w14:textId="77777777" w:rsidR="002C714A" w:rsidRDefault="002C714A" w:rsidP="00551A91">
      <w:pPr>
        <w:pStyle w:val="BodyTextbullets125"/>
        <w:rPr>
          <w:lang w:eastAsia="en-CA"/>
        </w:rPr>
      </w:pPr>
      <w:r>
        <w:rPr>
          <w:lang w:eastAsia="en-CA"/>
        </w:rPr>
        <w:t>Designated sites;</w:t>
      </w:r>
    </w:p>
    <w:p w14:paraId="51920FB9" w14:textId="6747EC1F" w:rsidR="002C714A" w:rsidRDefault="002C714A" w:rsidP="00551A91">
      <w:pPr>
        <w:pStyle w:val="BodyTextbullets125"/>
        <w:rPr>
          <w:lang w:eastAsia="en-CA"/>
        </w:rPr>
      </w:pPr>
      <w:r>
        <w:rPr>
          <w:lang w:eastAsia="en-CA"/>
        </w:rPr>
        <w:t>Farm buildings;</w:t>
      </w:r>
      <w:r w:rsidR="007D0EB3">
        <w:rPr>
          <w:lang w:eastAsia="en-CA"/>
        </w:rPr>
        <w:t xml:space="preserve"> and</w:t>
      </w:r>
    </w:p>
    <w:p w14:paraId="2C14F025" w14:textId="228B0CE9" w:rsidR="00551A91" w:rsidRPr="00256506" w:rsidRDefault="002C714A" w:rsidP="007D0EB3">
      <w:pPr>
        <w:pStyle w:val="BodyTextbullets125"/>
        <w:rPr>
          <w:lang w:eastAsia="en-CA"/>
        </w:rPr>
      </w:pPr>
      <w:r>
        <w:rPr>
          <w:lang w:eastAsia="en-CA"/>
        </w:rPr>
        <w:t>Home based businesses</w:t>
      </w:r>
      <w:r w:rsidR="007D0EB3">
        <w:rPr>
          <w:lang w:eastAsia="en-CA"/>
        </w:rPr>
        <w:t>.</w:t>
      </w:r>
    </w:p>
    <w:p w14:paraId="64A6EBFF" w14:textId="77777777" w:rsidR="009648EF" w:rsidRPr="00174968" w:rsidRDefault="009648EF" w:rsidP="00E85578">
      <w:pPr>
        <w:pStyle w:val="BodyText125"/>
        <w:rPr>
          <w:noProof/>
        </w:rPr>
      </w:pPr>
    </w:p>
    <w:p w14:paraId="72B87A43" w14:textId="77777777" w:rsidR="001350F1" w:rsidRDefault="001350F1" w:rsidP="00B57375">
      <w:pPr>
        <w:pStyle w:val="Captions"/>
        <w:rPr>
          <w:noProof/>
        </w:rPr>
        <w:sectPr w:rsidR="001350F1" w:rsidSect="00F91552">
          <w:footerReference w:type="default" r:id="rId41"/>
          <w:footerReference w:type="first" r:id="rId42"/>
          <w:footnotePr>
            <w:numRestart w:val="eachPage"/>
          </w:footnotePr>
          <w:pgSz w:w="12240" w:h="15840" w:code="1"/>
          <w:pgMar w:top="1440" w:right="1440" w:bottom="1440" w:left="1440" w:header="432" w:footer="619" w:gutter="0"/>
          <w:pgNumType w:start="1" w:chapStyle="1"/>
          <w:cols w:space="708"/>
          <w:titlePg/>
          <w:docGrid w:linePitch="360"/>
        </w:sectPr>
      </w:pPr>
    </w:p>
    <w:p w14:paraId="2A375A5F" w14:textId="37722B18" w:rsidR="001350F1" w:rsidRPr="00DC5440" w:rsidRDefault="001350F1" w:rsidP="006A7162">
      <w:pPr>
        <w:pStyle w:val="ChapterDividers"/>
      </w:pPr>
      <w:bookmarkStart w:id="101" w:name="_Toc520822906"/>
      <w:bookmarkStart w:id="102" w:name="_Toc520910951"/>
      <w:bookmarkStart w:id="103" w:name="_Toc520911332"/>
      <w:r w:rsidRPr="00E913F2">
        <w:t>Chapter 3</w:t>
      </w:r>
      <w:r w:rsidR="00620725" w:rsidRPr="00E913F2">
        <w:t xml:space="preserve"> </w:t>
      </w:r>
      <w:r w:rsidR="00620725" w:rsidRPr="00E913F2">
        <w:br/>
      </w:r>
      <w:r w:rsidRPr="00E913F2">
        <w:rPr>
          <w:rStyle w:val="ChapterDividersTitleChar"/>
          <w:color w:val="000000"/>
        </w:rPr>
        <w:t xml:space="preserve">Anticipated Development in the </w:t>
      </w:r>
      <w:r w:rsidR="00A1355F" w:rsidRPr="00E913F2">
        <w:rPr>
          <w:rStyle w:val="ChapterDividersTitleChar"/>
          <w:color w:val="000000"/>
        </w:rPr>
        <w:t>City</w:t>
      </w:r>
      <w:r w:rsidRPr="00E913F2">
        <w:rPr>
          <w:rStyle w:val="ChapterDividersTitleChar"/>
          <w:color w:val="000000"/>
        </w:rPr>
        <w:t xml:space="preserve"> of </w:t>
      </w:r>
      <w:r w:rsidR="00A1355F" w:rsidRPr="00E913F2">
        <w:rPr>
          <w:rStyle w:val="ChapterDividersTitleChar"/>
          <w:color w:val="000000"/>
        </w:rPr>
        <w:t>Cambridge</w:t>
      </w:r>
      <w:bookmarkEnd w:id="101"/>
      <w:bookmarkEnd w:id="102"/>
      <w:bookmarkEnd w:id="103"/>
    </w:p>
    <w:p w14:paraId="2892B612" w14:textId="77777777" w:rsidR="009648EF" w:rsidRPr="00174968" w:rsidRDefault="009648EF" w:rsidP="00B57375">
      <w:pPr>
        <w:pStyle w:val="Captions"/>
        <w:rPr>
          <w:noProof/>
        </w:rPr>
        <w:sectPr w:rsidR="009648EF" w:rsidRPr="00174968" w:rsidSect="00F91552">
          <w:footerReference w:type="default" r:id="rId43"/>
          <w:footerReference w:type="first" r:id="rId44"/>
          <w:footnotePr>
            <w:numRestart w:val="eachPage"/>
          </w:footnotePr>
          <w:pgSz w:w="12240" w:h="15840" w:code="1"/>
          <w:pgMar w:top="1440" w:right="1440" w:bottom="1440" w:left="1440" w:header="432" w:footer="619" w:gutter="0"/>
          <w:pgNumType w:start="1" w:chapStyle="1"/>
          <w:cols w:space="708"/>
          <w:titlePg/>
          <w:docGrid w:linePitch="360"/>
        </w:sectPr>
      </w:pPr>
    </w:p>
    <w:p w14:paraId="1F5F95ED" w14:textId="3B69EC9C" w:rsidR="009648EF" w:rsidRPr="001658FE" w:rsidRDefault="00551A91" w:rsidP="00F5670B">
      <w:pPr>
        <w:pStyle w:val="Heading1"/>
        <w:rPr>
          <w:noProof/>
        </w:rPr>
      </w:pPr>
      <w:bookmarkStart w:id="104" w:name="_Toc520822907"/>
      <w:bookmarkStart w:id="105" w:name="_Toc520910952"/>
      <w:bookmarkStart w:id="106" w:name="_Toc520911333"/>
      <w:bookmarkStart w:id="107" w:name="_Toc154068753"/>
      <w:r w:rsidRPr="001658FE">
        <w:t xml:space="preserve">Anticipated Development in the </w:t>
      </w:r>
      <w:r w:rsidR="00A1355F" w:rsidRPr="001658FE">
        <w:t>City</w:t>
      </w:r>
      <w:r w:rsidRPr="001658FE">
        <w:t xml:space="preserve"> of </w:t>
      </w:r>
      <w:r w:rsidR="00A1355F" w:rsidRPr="001658FE">
        <w:t>Cambridge</w:t>
      </w:r>
      <w:bookmarkEnd w:id="104"/>
      <w:bookmarkEnd w:id="105"/>
      <w:bookmarkEnd w:id="106"/>
      <w:bookmarkEnd w:id="107"/>
    </w:p>
    <w:p w14:paraId="31076038" w14:textId="77777777" w:rsidR="001D22C0" w:rsidRPr="0092537B" w:rsidRDefault="001D22C0" w:rsidP="00B16524">
      <w:pPr>
        <w:pStyle w:val="Heading2"/>
        <w:numPr>
          <w:ilvl w:val="1"/>
          <w:numId w:val="3"/>
        </w:numPr>
      </w:pPr>
      <w:bookmarkStart w:id="108" w:name="_Toc520300712"/>
      <w:bookmarkStart w:id="109" w:name="_Toc520822908"/>
      <w:bookmarkStart w:id="110" w:name="_Toc520910953"/>
      <w:bookmarkStart w:id="111" w:name="_Toc520911334"/>
      <w:bookmarkStart w:id="112" w:name="_Toc517273732"/>
      <w:bookmarkStart w:id="113" w:name="_Toc517273736"/>
      <w:bookmarkStart w:id="114" w:name="_Toc154068754"/>
      <w:r w:rsidRPr="001658FE">
        <w:t>Requirement of the</w:t>
      </w:r>
      <w:r>
        <w:t xml:space="preserve"> Act</w:t>
      </w:r>
      <w:bookmarkEnd w:id="108"/>
      <w:bookmarkEnd w:id="109"/>
      <w:bookmarkEnd w:id="110"/>
      <w:bookmarkEnd w:id="111"/>
      <w:bookmarkEnd w:id="114"/>
    </w:p>
    <w:p w14:paraId="13779382" w14:textId="0B942DBC" w:rsidR="001658FE" w:rsidRDefault="001658FE" w:rsidP="001658FE">
      <w:pPr>
        <w:pStyle w:val="BodyText125"/>
      </w:pPr>
      <w:r>
        <w:t>The growth forecast contained in this chapter (with supplemental tables in Appendix A) provides for the anticipated development for which the City will be required to provide services over a 10-year (</w:t>
      </w:r>
      <w:r w:rsidR="00B03B27">
        <w:t>Late-</w:t>
      </w:r>
      <w:r>
        <w:t xml:space="preserve">2023 to </w:t>
      </w:r>
      <w:r w:rsidR="00B03B27">
        <w:t>Late-</w:t>
      </w:r>
      <w:r>
        <w:t>2033) time horizon.</w:t>
      </w:r>
      <w:r w:rsidR="00B03B27">
        <w:t xml:space="preserve">  Note, this forecast represents growth over a 10-year period.  The capital needs discussed in Chapter 5 are presented on a calendar-year basis.  As there is a lag between construction and occupancy of development (discussed later in this chapter), the capital needs are presented over the period 2023 to 2032.</w:t>
      </w:r>
    </w:p>
    <w:p w14:paraId="25B8D024" w14:textId="6D629BB2" w:rsidR="001D22C0" w:rsidRPr="00FC6F3E" w:rsidRDefault="001658FE" w:rsidP="001658FE">
      <w:pPr>
        <w:pStyle w:val="BodyText125"/>
      </w:pPr>
      <w:r>
        <w:t>Chapter 4 provides the methodology for calculating a D.C. as per the D.C.A.  Figure 4-1 presents this methodology graphically.  It is noted in the first box of the schematic that in order to determine the D.C. that may be imposed, it is a requirement of subsection 5 (1) of the D.C.A. that “the anticipated amount, type and location of development, for which development charges can be imposed, must be estimated.”</w:t>
      </w:r>
    </w:p>
    <w:p w14:paraId="3E15C328" w14:textId="77777777" w:rsidR="001D22C0" w:rsidRPr="00FC6F3E" w:rsidRDefault="001D22C0" w:rsidP="00B16524">
      <w:pPr>
        <w:pStyle w:val="Heading2"/>
        <w:numPr>
          <w:ilvl w:val="1"/>
          <w:numId w:val="3"/>
        </w:numPr>
      </w:pPr>
      <w:bookmarkStart w:id="115" w:name="_Toc494292978"/>
      <w:bookmarkStart w:id="116" w:name="_Toc520300713"/>
      <w:bookmarkStart w:id="117" w:name="_Toc520822909"/>
      <w:bookmarkStart w:id="118" w:name="_Toc520910954"/>
      <w:bookmarkStart w:id="119" w:name="_Toc520911335"/>
      <w:bookmarkStart w:id="120" w:name="_Toc154068755"/>
      <w:r w:rsidRPr="00FC6F3E">
        <w:t>Basis of Population, Household and Non-Residential Gross Floor Area Forecast</w:t>
      </w:r>
      <w:bookmarkEnd w:id="115"/>
      <w:bookmarkEnd w:id="116"/>
      <w:bookmarkEnd w:id="117"/>
      <w:bookmarkEnd w:id="118"/>
      <w:bookmarkEnd w:id="119"/>
      <w:bookmarkEnd w:id="120"/>
    </w:p>
    <w:p w14:paraId="080CB47E" w14:textId="77777777" w:rsidR="001658FE" w:rsidRPr="001A5EE7" w:rsidRDefault="001658FE" w:rsidP="001658FE">
      <w:pPr>
        <w:pStyle w:val="BodyText125"/>
        <w:rPr>
          <w:lang w:val="en-US"/>
        </w:rPr>
      </w:pPr>
      <w:r w:rsidRPr="00843E61">
        <w:rPr>
          <w:lang w:val="en-US"/>
        </w:rPr>
        <w:t xml:space="preserve">The D.C. growth forecast has been derived by Watson.  In preparing the growth forecast, the following information sources were consulted to assess the residential and </w:t>
      </w:r>
      <w:r w:rsidRPr="001A5EE7">
        <w:rPr>
          <w:lang w:val="en-US"/>
        </w:rPr>
        <w:t>non-residential development potential for the City over the forecast period, including:</w:t>
      </w:r>
    </w:p>
    <w:p w14:paraId="6A74F4D3" w14:textId="7356BDEA" w:rsidR="001658FE" w:rsidRPr="001A5EE7" w:rsidRDefault="008D1835" w:rsidP="001658FE">
      <w:pPr>
        <w:pStyle w:val="BodyTextbullets125"/>
        <w:rPr>
          <w:lang w:val="en-US"/>
        </w:rPr>
      </w:pPr>
      <w:r>
        <w:rPr>
          <w:lang w:val="en-US"/>
        </w:rPr>
        <w:t>Region of Waterloo</w:t>
      </w:r>
      <w:r w:rsidR="001658FE" w:rsidRPr="001A5EE7">
        <w:rPr>
          <w:lang w:val="en-US"/>
        </w:rPr>
        <w:t xml:space="preserve"> Official Plan, including Amendment No. 6 to Regional Official Plan; and the technical background work to establish the planning framework for accommodating </w:t>
      </w:r>
      <w:r w:rsidR="006E5EE5">
        <w:rPr>
          <w:lang w:val="en-US"/>
        </w:rPr>
        <w:t xml:space="preserve">the </w:t>
      </w:r>
      <w:r w:rsidR="001658FE" w:rsidRPr="001A5EE7">
        <w:rPr>
          <w:lang w:val="en-US"/>
        </w:rPr>
        <w:t>Region</w:t>
      </w:r>
      <w:r w:rsidR="006E5EE5">
        <w:rPr>
          <w:lang w:val="en-US"/>
        </w:rPr>
        <w:t xml:space="preserve"> of Waterloo’</w:t>
      </w:r>
      <w:r w:rsidR="001658FE" w:rsidRPr="001A5EE7">
        <w:rPr>
          <w:lang w:val="en-US"/>
        </w:rPr>
        <w:t>s forecasted population and employment growth to 2051;</w:t>
      </w:r>
    </w:p>
    <w:p w14:paraId="23E1458E" w14:textId="77777777" w:rsidR="001658FE" w:rsidRPr="001A5EE7" w:rsidRDefault="001658FE" w:rsidP="001658FE">
      <w:pPr>
        <w:pStyle w:val="BodyTextbullets125"/>
        <w:rPr>
          <w:lang w:val="en-US"/>
        </w:rPr>
      </w:pPr>
      <w:r w:rsidRPr="001A5EE7">
        <w:rPr>
          <w:lang w:val="en-US"/>
        </w:rPr>
        <w:t>City of Cambridge 2019 Development Charges Background Study, March 21, 2019, by Watson &amp; Associates Economists Ltd.</w:t>
      </w:r>
    </w:p>
    <w:p w14:paraId="14361894" w14:textId="77777777" w:rsidR="001658FE" w:rsidRPr="00132D04" w:rsidRDefault="001658FE" w:rsidP="001658FE">
      <w:pPr>
        <w:pStyle w:val="BodyTextbullets125"/>
        <w:rPr>
          <w:lang w:val="en-US"/>
        </w:rPr>
      </w:pPr>
      <w:r w:rsidRPr="001A5EE7">
        <w:rPr>
          <w:lang w:val="en-US"/>
        </w:rPr>
        <w:t>2011, 2016 and 2021 population</w:t>
      </w:r>
      <w:r w:rsidRPr="00132D04">
        <w:rPr>
          <w:lang w:val="en-US"/>
        </w:rPr>
        <w:t>, household and employment Census data;</w:t>
      </w:r>
    </w:p>
    <w:p w14:paraId="7A599DE2" w14:textId="77777777" w:rsidR="001658FE" w:rsidRPr="00132D04" w:rsidRDefault="001658FE" w:rsidP="001658FE">
      <w:pPr>
        <w:pStyle w:val="BodyTextbullets125"/>
        <w:rPr>
          <w:lang w:val="en-US"/>
        </w:rPr>
      </w:pPr>
      <w:r w:rsidRPr="00132D04">
        <w:rPr>
          <w:lang w:val="en-US"/>
        </w:rPr>
        <w:t xml:space="preserve">Historical residential building permit data over the 2013 to </w:t>
      </w:r>
      <w:r>
        <w:rPr>
          <w:lang w:val="en-US"/>
        </w:rPr>
        <w:t xml:space="preserve">June </w:t>
      </w:r>
      <w:r w:rsidRPr="00132D04">
        <w:rPr>
          <w:lang w:val="en-US"/>
        </w:rPr>
        <w:t>202</w:t>
      </w:r>
      <w:r>
        <w:rPr>
          <w:lang w:val="en-US"/>
        </w:rPr>
        <w:t>3 year-to-date</w:t>
      </w:r>
      <w:r w:rsidRPr="00132D04">
        <w:rPr>
          <w:lang w:val="en-US"/>
        </w:rPr>
        <w:t xml:space="preserve"> period;</w:t>
      </w:r>
    </w:p>
    <w:p w14:paraId="4C2B485D" w14:textId="77777777" w:rsidR="001658FE" w:rsidRDefault="001658FE" w:rsidP="001658FE">
      <w:pPr>
        <w:pStyle w:val="BodyTextbullets125"/>
        <w:rPr>
          <w:lang w:val="en-US"/>
        </w:rPr>
      </w:pPr>
      <w:r w:rsidRPr="00132D04">
        <w:rPr>
          <w:lang w:val="en-US"/>
        </w:rPr>
        <w:t xml:space="preserve">Residential and non-residential supply opportunities as identified by City of Cambridge staff; and </w:t>
      </w:r>
    </w:p>
    <w:p w14:paraId="63ECAA59" w14:textId="3A3CDE5C" w:rsidR="001D22C0" w:rsidRPr="001658FE" w:rsidRDefault="001658FE" w:rsidP="001658FE">
      <w:pPr>
        <w:pStyle w:val="BodyTextbullets125"/>
        <w:rPr>
          <w:lang w:val="en-US"/>
        </w:rPr>
      </w:pPr>
      <w:r w:rsidRPr="001658FE">
        <w:rPr>
          <w:lang w:val="en-US"/>
        </w:rPr>
        <w:t>Discussions from City staff regarding anticipated residential and non-residential development in the City of Cambridge.</w:t>
      </w:r>
    </w:p>
    <w:p w14:paraId="095009DA" w14:textId="77777777" w:rsidR="001D22C0" w:rsidRDefault="001D22C0" w:rsidP="001D22C0">
      <w:pPr>
        <w:pStyle w:val="Heading2"/>
      </w:pPr>
      <w:bookmarkStart w:id="121" w:name="_Toc520822910"/>
      <w:bookmarkStart w:id="122" w:name="_Toc520910955"/>
      <w:bookmarkStart w:id="123" w:name="_Toc520911336"/>
      <w:bookmarkStart w:id="124" w:name="_Toc154068756"/>
      <w:r>
        <w:t>Summary of Growth Forecast</w:t>
      </w:r>
      <w:bookmarkEnd w:id="121"/>
      <w:bookmarkEnd w:id="122"/>
      <w:bookmarkEnd w:id="123"/>
      <w:bookmarkEnd w:id="124"/>
    </w:p>
    <w:bookmarkEnd w:id="112"/>
    <w:p w14:paraId="5A3570BD" w14:textId="798A44B8" w:rsidR="001658FE" w:rsidRPr="00843E61" w:rsidRDefault="001658FE" w:rsidP="001658FE">
      <w:pPr>
        <w:pStyle w:val="BodyText125"/>
      </w:pPr>
      <w:r w:rsidRPr="00843E61">
        <w:t xml:space="preserve">A detailed analysis of the residential and non-residential growth forecasts is provided in Appendix A and the methodology employed is illustrated in Figure 3-1.  The discussion provided herein summarizes the anticipated growth for the </w:t>
      </w:r>
      <w:r>
        <w:t>City</w:t>
      </w:r>
      <w:r w:rsidRPr="00843E61">
        <w:t xml:space="preserve"> and describes the basis for the forecast.  The results of the residential growth forecast analysis are summarized in Table 3-1 below, and Schedule 1 in Appendix A.</w:t>
      </w:r>
    </w:p>
    <w:p w14:paraId="4F32E1BE" w14:textId="77777777" w:rsidR="001658FE" w:rsidRPr="00843E61" w:rsidRDefault="001658FE" w:rsidP="001658FE">
      <w:pPr>
        <w:pStyle w:val="BodyText125"/>
      </w:pPr>
      <w:r w:rsidRPr="00843E61">
        <w:t xml:space="preserve">As identified in Table 3-1 and Appendix A – Schedule 1, population in the </w:t>
      </w:r>
      <w:r>
        <w:t>City of Cambridge</w:t>
      </w:r>
      <w:r w:rsidRPr="00843E61">
        <w:t xml:space="preserve"> (excluding census undercount) is anticipated to reach approximately </w:t>
      </w:r>
      <w:r>
        <w:t>168</w:t>
      </w:r>
      <w:r w:rsidRPr="00843E61">
        <w:t>,</w:t>
      </w:r>
      <w:r>
        <w:t>910</w:t>
      </w:r>
      <w:r w:rsidRPr="00843E61">
        <w:t xml:space="preserve"> by </w:t>
      </w:r>
      <w:r>
        <w:t>late</w:t>
      </w:r>
      <w:r w:rsidRPr="00843E61">
        <w:t xml:space="preserve">-2033, resulting in an increase of approximately </w:t>
      </w:r>
      <w:r>
        <w:t>23,500</w:t>
      </w:r>
      <w:r w:rsidRPr="00843E61">
        <w:t xml:space="preserve"> persons. </w:t>
      </w:r>
      <w:r w:rsidRPr="00B712E9">
        <w:rPr>
          <w:vertAlign w:val="superscript"/>
        </w:rPr>
        <w:t>[</w:t>
      </w:r>
      <w:r w:rsidRPr="00B712E9">
        <w:rPr>
          <w:vertAlign w:val="superscript"/>
        </w:rPr>
        <w:footnoteReference w:id="1"/>
      </w:r>
      <w:r w:rsidRPr="00B712E9">
        <w:rPr>
          <w:vertAlign w:val="superscript"/>
        </w:rPr>
        <w:t>]</w:t>
      </w:r>
    </w:p>
    <w:p w14:paraId="6E0B231E" w14:textId="77777777" w:rsidR="001658FE" w:rsidRPr="00843E61" w:rsidRDefault="001658FE" w:rsidP="001658FE">
      <w:pPr>
        <w:pStyle w:val="FigureTableTitles"/>
      </w:pPr>
      <w:r w:rsidRPr="00843E61">
        <w:t>Figure 3-1</w:t>
      </w:r>
    </w:p>
    <w:p w14:paraId="3C4F21B9" w14:textId="77777777" w:rsidR="001658FE" w:rsidRPr="00843E61" w:rsidRDefault="001658FE" w:rsidP="001658FE">
      <w:pPr>
        <w:pStyle w:val="FigureTableTitles"/>
      </w:pPr>
      <w:r w:rsidRPr="00843E61">
        <w:t>Population and Household Forecast Model</w:t>
      </w:r>
    </w:p>
    <w:p w14:paraId="42CD785E" w14:textId="30DC06FA" w:rsidR="001658FE" w:rsidRPr="00FC6F3E" w:rsidRDefault="00013F2E" w:rsidP="001658FE">
      <w:pPr>
        <w:pStyle w:val="BodyText125"/>
        <w:jc w:val="center"/>
      </w:pPr>
      <w:r w:rsidRPr="00013F2E">
        <w:rPr>
          <w:noProof/>
        </w:rPr>
        <w:drawing>
          <wp:inline distT="0" distB="0" distL="0" distR="0" wp14:anchorId="153212E8" wp14:editId="4A1877F1">
            <wp:extent cx="5006499" cy="3931920"/>
            <wp:effectExtent l="0" t="0" r="3810" b="0"/>
            <wp:docPr id="1339505825" name="Picture 2" descr="Figure 3-1&#10;Population and Household Forecas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05825" name="Picture 2" descr="Figure 3-1&#10;Population and Household Forecast Mod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06499" cy="3931920"/>
                    </a:xfrm>
                    <a:prstGeom prst="rect">
                      <a:avLst/>
                    </a:prstGeom>
                    <a:noFill/>
                    <a:ln>
                      <a:noFill/>
                    </a:ln>
                  </pic:spPr>
                </pic:pic>
              </a:graphicData>
            </a:graphic>
          </wp:inline>
        </w:drawing>
      </w:r>
    </w:p>
    <w:p w14:paraId="5F8F96E6" w14:textId="77777777" w:rsidR="001658FE" w:rsidRPr="00597007" w:rsidRDefault="001658FE" w:rsidP="001658FE">
      <w:pPr>
        <w:pStyle w:val="Header"/>
        <w:tabs>
          <w:tab w:val="clear" w:pos="4320"/>
          <w:tab w:val="clear" w:pos="8640"/>
        </w:tabs>
        <w:ind w:left="-1170" w:firstLine="1170"/>
        <w:jc w:val="center"/>
        <w:rPr>
          <w:b/>
          <w:sz w:val="18"/>
          <w:szCs w:val="18"/>
        </w:rPr>
        <w:sectPr w:rsidR="001658FE" w:rsidRPr="00597007" w:rsidSect="00F91552">
          <w:footerReference w:type="default" r:id="rId46"/>
          <w:footerReference w:type="first" r:id="rId47"/>
          <w:footnotePr>
            <w:numRestart w:val="eachPage"/>
          </w:footnotePr>
          <w:pgSz w:w="12240" w:h="15840" w:code="1"/>
          <w:pgMar w:top="1440" w:right="1440" w:bottom="1440" w:left="1440" w:header="432" w:footer="619" w:gutter="0"/>
          <w:pgNumType w:start="1" w:chapStyle="1"/>
          <w:cols w:space="720"/>
          <w:formProt w:val="0"/>
          <w:noEndnote/>
          <w:titlePg/>
          <w:docGrid w:linePitch="326"/>
        </w:sectPr>
      </w:pPr>
    </w:p>
    <w:p w14:paraId="229CCCD9" w14:textId="77777777" w:rsidR="001658FE" w:rsidRPr="00843E61" w:rsidRDefault="001658FE" w:rsidP="001658FE">
      <w:pPr>
        <w:pStyle w:val="FigureTableTitles"/>
      </w:pPr>
      <w:r w:rsidRPr="00843E61">
        <w:t>Table 3-1</w:t>
      </w:r>
    </w:p>
    <w:p w14:paraId="746B6BC2" w14:textId="77777777" w:rsidR="001658FE" w:rsidRPr="00843E61" w:rsidRDefault="001658FE" w:rsidP="001658FE">
      <w:pPr>
        <w:pStyle w:val="FigureTableTitles"/>
      </w:pPr>
      <w:r>
        <w:t>City of Cambridge</w:t>
      </w:r>
    </w:p>
    <w:p w14:paraId="5811E3E4" w14:textId="77777777" w:rsidR="001658FE" w:rsidRPr="00FC6F3E" w:rsidRDefault="001658FE" w:rsidP="001658FE">
      <w:pPr>
        <w:pStyle w:val="FigureTableTitles"/>
      </w:pPr>
      <w:r w:rsidRPr="00843E61">
        <w:t>Residential Growth Forecast Summary</w:t>
      </w:r>
    </w:p>
    <w:p w14:paraId="416089C1" w14:textId="77777777" w:rsidR="001658FE" w:rsidRPr="00843E61" w:rsidRDefault="001658FE" w:rsidP="001658FE">
      <w:pPr>
        <w:pStyle w:val="BodyText125"/>
        <w:rPr>
          <w:lang w:val="en-US"/>
        </w:rPr>
      </w:pPr>
      <w:r w:rsidRPr="00F83E03">
        <w:rPr>
          <w:noProof/>
        </w:rPr>
        <w:drawing>
          <wp:inline distT="0" distB="0" distL="0" distR="0" wp14:anchorId="42A5EE42" wp14:editId="4A356454">
            <wp:extent cx="7826375" cy="2835275"/>
            <wp:effectExtent l="0" t="0" r="3175" b="3175"/>
            <wp:docPr id="443509277" name="Picture 1" descr="This table outlines the residential growth forecast summary for the City of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09277" name="Picture 1" descr="This table outlines the residential growth forecast summary for the City of Cambrid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26375" cy="2835275"/>
                    </a:xfrm>
                    <a:prstGeom prst="rect">
                      <a:avLst/>
                    </a:prstGeom>
                    <a:noFill/>
                    <a:ln>
                      <a:noFill/>
                    </a:ln>
                  </pic:spPr>
                </pic:pic>
              </a:graphicData>
            </a:graphic>
          </wp:inline>
        </w:drawing>
      </w:r>
    </w:p>
    <w:p w14:paraId="2F91887B" w14:textId="77777777" w:rsidR="001658FE" w:rsidRPr="00843E61" w:rsidRDefault="001658FE" w:rsidP="00504826">
      <w:pPr>
        <w:pStyle w:val="Captions"/>
        <w:spacing w:after="0"/>
        <w:rPr>
          <w:lang w:val="en-US"/>
        </w:rPr>
      </w:pPr>
      <w:r w:rsidRPr="00843E61">
        <w:rPr>
          <w:vertAlign w:val="superscript"/>
          <w:lang w:val="en-US"/>
        </w:rPr>
        <w:t>[1]</w:t>
      </w:r>
      <w:r w:rsidRPr="00843E61">
        <w:rPr>
          <w:lang w:val="en-US"/>
        </w:rPr>
        <w:t xml:space="preserve"> Population includes the Census undercount estimated at approximately </w:t>
      </w:r>
      <w:r>
        <w:rPr>
          <w:lang w:val="en-US"/>
        </w:rPr>
        <w:t>3.4</w:t>
      </w:r>
      <w:r w:rsidRPr="00843E61">
        <w:rPr>
          <w:lang w:val="en-US"/>
        </w:rPr>
        <w:t>% and has been rounded.</w:t>
      </w:r>
    </w:p>
    <w:p w14:paraId="7D2DA894" w14:textId="77777777" w:rsidR="001658FE" w:rsidRPr="00843E61" w:rsidRDefault="001658FE" w:rsidP="00504826">
      <w:pPr>
        <w:pStyle w:val="Captions"/>
        <w:spacing w:after="0"/>
        <w:rPr>
          <w:lang w:val="en-US"/>
        </w:rPr>
      </w:pPr>
      <w:r w:rsidRPr="00843E61">
        <w:rPr>
          <w:vertAlign w:val="superscript"/>
          <w:lang w:val="en-US"/>
        </w:rPr>
        <w:t>[2]</w:t>
      </w:r>
      <w:r w:rsidRPr="00843E61">
        <w:rPr>
          <w:lang w:val="en-US"/>
        </w:rPr>
        <w:t xml:space="preserve"> Includes townhouses and apartments in duplexes.</w:t>
      </w:r>
    </w:p>
    <w:p w14:paraId="5BA9240F" w14:textId="77777777" w:rsidR="001658FE" w:rsidRPr="00843E61" w:rsidRDefault="001658FE" w:rsidP="00504826">
      <w:pPr>
        <w:pStyle w:val="Captions"/>
        <w:spacing w:after="0"/>
        <w:rPr>
          <w:lang w:val="en-US"/>
        </w:rPr>
      </w:pPr>
      <w:r w:rsidRPr="00843E61">
        <w:rPr>
          <w:vertAlign w:val="superscript"/>
          <w:lang w:val="en-US"/>
        </w:rPr>
        <w:t>[3]</w:t>
      </w:r>
      <w:r w:rsidRPr="00843E61">
        <w:rPr>
          <w:lang w:val="en-US"/>
        </w:rPr>
        <w:t xml:space="preserve"> Includes bachelor, 1-bedroom, and 2-bedroom+ apartment units.</w:t>
      </w:r>
    </w:p>
    <w:p w14:paraId="02D93BAE" w14:textId="77777777" w:rsidR="001658FE" w:rsidRPr="00843E61" w:rsidRDefault="001658FE" w:rsidP="00504826">
      <w:pPr>
        <w:pStyle w:val="Captions"/>
        <w:spacing w:after="0"/>
        <w:rPr>
          <w:lang w:val="en-US"/>
        </w:rPr>
      </w:pPr>
      <w:r w:rsidRPr="00843E61">
        <w:rPr>
          <w:lang w:val="en-US"/>
        </w:rPr>
        <w:t>Notes:</w:t>
      </w:r>
    </w:p>
    <w:p w14:paraId="62D328B9" w14:textId="77777777" w:rsidR="001658FE" w:rsidRPr="00843E61" w:rsidRDefault="001658FE" w:rsidP="00504826">
      <w:pPr>
        <w:pStyle w:val="Captions"/>
        <w:spacing w:after="0"/>
        <w:rPr>
          <w:lang w:val="en-US"/>
        </w:rPr>
      </w:pPr>
      <w:r w:rsidRPr="00843E61">
        <w:rPr>
          <w:lang w:val="en-US"/>
        </w:rPr>
        <w:t>Numbers may not add due to rounding.</w:t>
      </w:r>
    </w:p>
    <w:p w14:paraId="59CE28FC" w14:textId="77777777" w:rsidR="001658FE" w:rsidRDefault="001658FE" w:rsidP="00B57375">
      <w:pPr>
        <w:pStyle w:val="Captions"/>
      </w:pPr>
      <w:r w:rsidRPr="006512EC">
        <w:t xml:space="preserve">Source: </w:t>
      </w:r>
      <w:r>
        <w:t xml:space="preserve"> </w:t>
      </w:r>
      <w:r w:rsidRPr="006512EC">
        <w:t>Watson &amp; Associates Economists Ltd.</w:t>
      </w:r>
      <w:r>
        <w:br w:type="page"/>
      </w:r>
    </w:p>
    <w:p w14:paraId="55072BFB" w14:textId="77777777" w:rsidR="001658FE" w:rsidRPr="005E2E5D" w:rsidRDefault="001658FE" w:rsidP="001658FE">
      <w:pPr>
        <w:pStyle w:val="FigureTableTitles"/>
      </w:pPr>
      <w:r w:rsidRPr="005E2E5D">
        <w:t>Figure 3-2</w:t>
      </w:r>
    </w:p>
    <w:p w14:paraId="0F2F0D42" w14:textId="77777777" w:rsidR="001658FE" w:rsidRPr="005E2E5D" w:rsidRDefault="001658FE" w:rsidP="001658FE">
      <w:pPr>
        <w:pStyle w:val="FigureTableTitles"/>
      </w:pPr>
      <w:r>
        <w:t>City</w:t>
      </w:r>
      <w:r w:rsidRPr="005E2E5D">
        <w:t xml:space="preserve"> of </w:t>
      </w:r>
      <w:r>
        <w:t>Cambridge</w:t>
      </w:r>
    </w:p>
    <w:p w14:paraId="1B1C64FC" w14:textId="77777777" w:rsidR="001658FE" w:rsidRPr="005E2E5D" w:rsidRDefault="001658FE" w:rsidP="001658FE">
      <w:pPr>
        <w:pStyle w:val="FigureTableTitles"/>
      </w:pPr>
      <w:r w:rsidRPr="005E2E5D">
        <w:t xml:space="preserve">Annual Housing Forecast </w:t>
      </w:r>
      <w:r w:rsidRPr="005E2E5D">
        <w:rPr>
          <w:vertAlign w:val="superscript"/>
        </w:rPr>
        <w:t>[1]</w:t>
      </w:r>
    </w:p>
    <w:p w14:paraId="2B5AE061" w14:textId="77777777" w:rsidR="001658FE" w:rsidRPr="005E2E5D" w:rsidRDefault="001658FE" w:rsidP="00B57375">
      <w:pPr>
        <w:pStyle w:val="Captions"/>
        <w:rPr>
          <w:lang w:val="en-US"/>
        </w:rPr>
      </w:pPr>
      <w:r w:rsidRPr="00F83E03">
        <w:rPr>
          <w:noProof/>
        </w:rPr>
        <w:drawing>
          <wp:inline distT="0" distB="0" distL="0" distR="0" wp14:anchorId="39104F62" wp14:editId="735A5EB0">
            <wp:extent cx="7826375" cy="3191510"/>
            <wp:effectExtent l="0" t="0" r="3175" b="8890"/>
            <wp:docPr id="272492299" name="Picture 2" descr="This table outlines the annual housing forecast for the City of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92299" name="Picture 2" descr="This table outlines the annual housing forecast for the City of Cambrid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826375" cy="3191510"/>
                    </a:xfrm>
                    <a:prstGeom prst="rect">
                      <a:avLst/>
                    </a:prstGeom>
                    <a:noFill/>
                    <a:ln>
                      <a:noFill/>
                    </a:ln>
                  </pic:spPr>
                </pic:pic>
              </a:graphicData>
            </a:graphic>
          </wp:inline>
        </w:drawing>
      </w:r>
    </w:p>
    <w:p w14:paraId="585EB1FE" w14:textId="38142915" w:rsidR="001658FE" w:rsidRPr="005E2E5D" w:rsidRDefault="001658FE" w:rsidP="001658FE">
      <w:pPr>
        <w:pStyle w:val="Sourcecaptions"/>
      </w:pPr>
      <w:r w:rsidRPr="005E2E5D">
        <w:rPr>
          <w:vertAlign w:val="superscript"/>
        </w:rPr>
        <w:t>[1]</w:t>
      </w:r>
      <w:r w:rsidRPr="005E2E5D">
        <w:t xml:space="preserve"> Growth forecast represents calendar year.</w:t>
      </w:r>
    </w:p>
    <w:p w14:paraId="61F33CC2" w14:textId="0238B0A2" w:rsidR="001658FE" w:rsidRPr="001E03AE" w:rsidRDefault="001658FE" w:rsidP="00B57375">
      <w:pPr>
        <w:pStyle w:val="Captions"/>
        <w:rPr>
          <w:lang w:eastAsia="ja-JP"/>
        </w:rPr>
        <w:sectPr w:rsidR="001658FE" w:rsidRPr="001E03AE" w:rsidSect="00B1207A">
          <w:footnotePr>
            <w:numRestart w:val="eachPage"/>
          </w:footnotePr>
          <w:pgSz w:w="15840" w:h="12240" w:orient="landscape"/>
          <w:pgMar w:top="1440" w:right="1814" w:bottom="1440" w:left="1701" w:header="567" w:footer="624" w:gutter="0"/>
          <w:pgNumType w:chapStyle="1"/>
          <w:cols w:space="708"/>
          <w:titlePg/>
          <w:docGrid w:linePitch="360"/>
        </w:sectPr>
      </w:pPr>
      <w:r w:rsidRPr="005E2E5D">
        <w:t xml:space="preserve">Source: </w:t>
      </w:r>
      <w:r w:rsidRPr="00F83E03">
        <w:t>Historical housing activity derived from City of Cambridge building permit data, 2013 to 2022, and 2023 estimated based on Statistics Canada June year-to-date building permit data for the City of Cambridge, by Watson &amp; Associates Economists Ltd</w:t>
      </w:r>
      <w:r w:rsidRPr="005E2E5D">
        <w:t>.</w:t>
      </w:r>
    </w:p>
    <w:p w14:paraId="4B6ECDE5" w14:textId="77777777" w:rsidR="001658FE" w:rsidRPr="00843E61" w:rsidRDefault="001658FE" w:rsidP="001658FE">
      <w:pPr>
        <w:pStyle w:val="BodyText125"/>
        <w:rPr>
          <w:lang w:val="en-US"/>
        </w:rPr>
      </w:pPr>
      <w:r w:rsidRPr="00843E61">
        <w:rPr>
          <w:lang w:val="en-US"/>
        </w:rPr>
        <w:t xml:space="preserve">Provided below is a summary of the key assumptions and findings regarding the </w:t>
      </w:r>
      <w:r>
        <w:rPr>
          <w:lang w:val="en-US"/>
        </w:rPr>
        <w:t>City of Cambridge</w:t>
      </w:r>
      <w:r w:rsidRPr="00843E61">
        <w:rPr>
          <w:lang w:val="en-US"/>
        </w:rPr>
        <w:t xml:space="preserve"> D.C. growth forecast:</w:t>
      </w:r>
    </w:p>
    <w:p w14:paraId="74DDA7D9" w14:textId="77777777" w:rsidR="001658FE" w:rsidRPr="00843E61" w:rsidRDefault="001658FE" w:rsidP="00F43901">
      <w:pPr>
        <w:pStyle w:val="BodyText125"/>
        <w:numPr>
          <w:ilvl w:val="0"/>
          <w:numId w:val="10"/>
        </w:numPr>
        <w:rPr>
          <w:lang w:val="en-US"/>
        </w:rPr>
      </w:pPr>
      <w:r w:rsidRPr="00843E61">
        <w:rPr>
          <w:lang w:val="en-US"/>
        </w:rPr>
        <w:t>Unit Mix (Appendix A – Schedules 1</w:t>
      </w:r>
      <w:r>
        <w:rPr>
          <w:lang w:val="en-US"/>
        </w:rPr>
        <w:t xml:space="preserve"> </w:t>
      </w:r>
      <w:r w:rsidRPr="00843E61">
        <w:rPr>
          <w:lang w:val="en-US"/>
        </w:rPr>
        <w:t xml:space="preserve">and </w:t>
      </w:r>
      <w:r>
        <w:rPr>
          <w:lang w:val="en-US"/>
        </w:rPr>
        <w:t>5</w:t>
      </w:r>
      <w:r w:rsidRPr="00843E61">
        <w:rPr>
          <w:lang w:val="en-US"/>
        </w:rPr>
        <w:t>)</w:t>
      </w:r>
    </w:p>
    <w:p w14:paraId="767D31FB" w14:textId="77777777" w:rsidR="001658FE" w:rsidRPr="00843E61" w:rsidRDefault="001658FE" w:rsidP="001658FE">
      <w:pPr>
        <w:pStyle w:val="BodyTextbullets125"/>
        <w:ind w:left="1440"/>
      </w:pPr>
      <w:r w:rsidRPr="00843E61">
        <w:t xml:space="preserve">The housing unit mix for the </w:t>
      </w:r>
      <w:r>
        <w:t>City</w:t>
      </w:r>
      <w:r w:rsidRPr="00843E61">
        <w:t xml:space="preserve"> was derived from a detailed review of historical development activity (as per Schedule </w:t>
      </w:r>
      <w:r>
        <w:t>5</w:t>
      </w:r>
      <w:r w:rsidRPr="00843E61">
        <w:t>), as well as active residential development applications</w:t>
      </w:r>
      <w:r>
        <w:t xml:space="preserve"> </w:t>
      </w:r>
      <w:r w:rsidRPr="00843E61">
        <w:t xml:space="preserve">and discussions with </w:t>
      </w:r>
      <w:r>
        <w:t>City</w:t>
      </w:r>
      <w:r w:rsidRPr="00843E61">
        <w:t xml:space="preserve"> staff regarding anticipated development trends for the </w:t>
      </w:r>
      <w:r>
        <w:t>City of Cambridge</w:t>
      </w:r>
      <w:r w:rsidRPr="00843E61">
        <w:t>.</w:t>
      </w:r>
    </w:p>
    <w:p w14:paraId="3BF357A8" w14:textId="74C38D71" w:rsidR="001658FE" w:rsidRPr="00843E61" w:rsidRDefault="001658FE" w:rsidP="001658FE">
      <w:pPr>
        <w:pStyle w:val="BodyTextbullets125"/>
        <w:ind w:left="1440"/>
      </w:pPr>
      <w:r w:rsidRPr="00843E61">
        <w:t xml:space="preserve">Based on the above indicators, the </w:t>
      </w:r>
      <w:r w:rsidR="007C2BCA">
        <w:t xml:space="preserve">10-year </w:t>
      </w:r>
      <w:r w:rsidRPr="00843E61">
        <w:t xml:space="preserve">household growth forecast for the </w:t>
      </w:r>
      <w:r>
        <w:t>City</w:t>
      </w:r>
      <w:r w:rsidRPr="00843E61">
        <w:t xml:space="preserve"> is comprised of a unit mix of </w:t>
      </w:r>
      <w:r>
        <w:t>22</w:t>
      </w:r>
      <w:r w:rsidRPr="00843E61">
        <w:t xml:space="preserve">% low density units (single detached and semi-detached), </w:t>
      </w:r>
      <w:r>
        <w:t>34</w:t>
      </w:r>
      <w:r w:rsidRPr="00843E61">
        <w:t xml:space="preserve">% medium density (multiples except apartments) and </w:t>
      </w:r>
      <w:r>
        <w:t>44</w:t>
      </w:r>
      <w:r w:rsidRPr="00843E61">
        <w:t>% high density (bachelor, 1</w:t>
      </w:r>
      <w:r w:rsidRPr="00843E61">
        <w:noBreakHyphen/>
        <w:t>bedroom and 2-bedroom apartments).</w:t>
      </w:r>
    </w:p>
    <w:p w14:paraId="01768A0C" w14:textId="77777777" w:rsidR="001658FE" w:rsidRPr="00843E61" w:rsidRDefault="001658FE" w:rsidP="00F43901">
      <w:pPr>
        <w:pStyle w:val="BodyText125"/>
        <w:numPr>
          <w:ilvl w:val="0"/>
          <w:numId w:val="10"/>
        </w:numPr>
        <w:rPr>
          <w:lang w:val="en-US"/>
        </w:rPr>
      </w:pPr>
      <w:r w:rsidRPr="00843E61">
        <w:rPr>
          <w:lang w:val="en-US"/>
        </w:rPr>
        <w:t>Geographic Location of Residential Development (Appendix A – Schedule 2)</w:t>
      </w:r>
    </w:p>
    <w:p w14:paraId="3B9AA2CF" w14:textId="77777777" w:rsidR="001658FE" w:rsidRPr="00843E61" w:rsidRDefault="001658FE" w:rsidP="001658FE">
      <w:pPr>
        <w:pStyle w:val="BodyTextbullets125"/>
        <w:ind w:left="1440"/>
      </w:pPr>
      <w:r w:rsidRPr="00843E61">
        <w:rPr>
          <w:lang w:val="en-US"/>
        </w:rPr>
        <w:t xml:space="preserve">Schedule 2 summarizes the anticipated amount, type, and location of </w:t>
      </w:r>
      <w:r w:rsidRPr="00843E61">
        <w:t xml:space="preserve">development by area for the </w:t>
      </w:r>
      <w:r>
        <w:t>City of Cambridge</w:t>
      </w:r>
    </w:p>
    <w:p w14:paraId="3664BEBC" w14:textId="14458689" w:rsidR="001658FE" w:rsidRPr="00843E61" w:rsidRDefault="001658FE" w:rsidP="001658FE">
      <w:pPr>
        <w:pStyle w:val="BodyTextbullets125"/>
        <w:ind w:left="1440"/>
      </w:pPr>
      <w:r w:rsidRPr="00843E61">
        <w:t xml:space="preserve">In accordance with forecast demand and available land supply, the amount and percentage of forecast housing growth </w:t>
      </w:r>
      <w:r w:rsidR="007C2BCA">
        <w:t xml:space="preserve">for the 10-year period </w:t>
      </w:r>
      <w:r w:rsidRPr="00843E61">
        <w:t>by development location is summarized below.</w:t>
      </w:r>
    </w:p>
    <w:p w14:paraId="51F607F0" w14:textId="77777777" w:rsidR="001658FE" w:rsidRPr="00843E61" w:rsidRDefault="001658FE" w:rsidP="001658FE">
      <w:pPr>
        <w:pStyle w:val="FigureTableTitles"/>
        <w:rPr>
          <w:lang w:val="en-US"/>
        </w:rPr>
      </w:pPr>
      <w:r w:rsidRPr="00843E61">
        <w:rPr>
          <w:lang w:val="en-US"/>
        </w:rPr>
        <w:t>Table 3-2</w:t>
      </w:r>
    </w:p>
    <w:p w14:paraId="669B73A0" w14:textId="77777777" w:rsidR="001658FE" w:rsidRPr="00843E61" w:rsidRDefault="001658FE" w:rsidP="001658FE">
      <w:pPr>
        <w:pStyle w:val="FigureTableTitles"/>
        <w:rPr>
          <w:lang w:val="en-US"/>
        </w:rPr>
      </w:pPr>
      <w:r>
        <w:rPr>
          <w:lang w:val="en-US"/>
        </w:rPr>
        <w:t>City of Cambridge</w:t>
      </w:r>
    </w:p>
    <w:p w14:paraId="74AFC179" w14:textId="77777777" w:rsidR="001658FE" w:rsidRDefault="001658FE" w:rsidP="001658FE">
      <w:pPr>
        <w:pStyle w:val="FigureTableTitles"/>
        <w:rPr>
          <w:lang w:val="en-US"/>
        </w:rPr>
      </w:pPr>
      <w:r w:rsidRPr="00843E61">
        <w:rPr>
          <w:lang w:val="en-US"/>
        </w:rPr>
        <w:t>Geographic Location of Residential Development</w:t>
      </w:r>
    </w:p>
    <w:p w14:paraId="1DD662E8" w14:textId="7D21757D" w:rsidR="007C2BCA" w:rsidRPr="00843E61" w:rsidRDefault="007C2BCA" w:rsidP="001658FE">
      <w:pPr>
        <w:pStyle w:val="FigureTableTitles"/>
        <w:rPr>
          <w:lang w:val="en-US"/>
        </w:rPr>
      </w:pPr>
      <w:r>
        <w:rPr>
          <w:lang w:val="en-US"/>
        </w:rPr>
        <w:t>10-year Forecast</w:t>
      </w:r>
    </w:p>
    <w:tbl>
      <w:tblPr>
        <w:tblStyle w:val="TableGrid"/>
        <w:tblW w:w="9530" w:type="dxa"/>
        <w:tblLook w:val="04A0" w:firstRow="1" w:lastRow="0" w:firstColumn="1" w:lastColumn="0" w:noHBand="0" w:noVBand="1"/>
      </w:tblPr>
      <w:tblGrid>
        <w:gridCol w:w="3860"/>
        <w:gridCol w:w="2793"/>
        <w:gridCol w:w="2877"/>
      </w:tblGrid>
      <w:tr w:rsidR="001658FE" w:rsidRPr="00843E61" w14:paraId="5C5B9F2A" w14:textId="77777777" w:rsidTr="0084196F">
        <w:trPr>
          <w:trHeight w:val="70"/>
        </w:trPr>
        <w:tc>
          <w:tcPr>
            <w:cnfStyle w:val="001000000000" w:firstRow="0" w:lastRow="0" w:firstColumn="1" w:lastColumn="0" w:oddVBand="0" w:evenVBand="0" w:oddHBand="0" w:evenHBand="0" w:firstRowFirstColumn="0" w:firstRowLastColumn="0" w:lastRowFirstColumn="0" w:lastRowLastColumn="0"/>
            <w:tcW w:w="3860" w:type="dxa"/>
            <w:shd w:val="clear" w:color="auto" w:fill="425364" w:themeFill="text1"/>
            <w:vAlign w:val="center"/>
            <w:hideMark/>
          </w:tcPr>
          <w:p w14:paraId="159E44EF" w14:textId="77777777" w:rsidR="001658FE" w:rsidRPr="00843E61" w:rsidRDefault="001658FE" w:rsidP="007C2BCA">
            <w:pPr>
              <w:pStyle w:val="BodyText125"/>
              <w:spacing w:after="0"/>
              <w:jc w:val="center"/>
              <w:rPr>
                <w:b/>
                <w:bCs/>
                <w:color w:val="FFFFFF" w:themeColor="background1"/>
                <w:lang w:val="en-US"/>
              </w:rPr>
            </w:pPr>
            <w:r w:rsidRPr="00843E61">
              <w:rPr>
                <w:b/>
                <w:bCs/>
                <w:color w:val="FFFFFF" w:themeColor="background1"/>
                <w:lang w:val="en-US"/>
              </w:rPr>
              <w:t>Development Location</w:t>
            </w:r>
          </w:p>
        </w:tc>
        <w:tc>
          <w:tcPr>
            <w:tcW w:w="2793" w:type="dxa"/>
            <w:shd w:val="clear" w:color="auto" w:fill="425364" w:themeFill="text1"/>
            <w:vAlign w:val="center"/>
            <w:hideMark/>
          </w:tcPr>
          <w:p w14:paraId="73C72F9B" w14:textId="37EB307D"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843E61">
              <w:rPr>
                <w:b/>
                <w:bCs/>
                <w:color w:val="FFFFFF" w:themeColor="background1"/>
                <w:lang w:val="en-US"/>
              </w:rPr>
              <w:t>Amount of Housing Growth</w:t>
            </w:r>
          </w:p>
        </w:tc>
        <w:tc>
          <w:tcPr>
            <w:tcW w:w="2877" w:type="dxa"/>
            <w:shd w:val="clear" w:color="auto" w:fill="425364" w:themeFill="text1"/>
            <w:vAlign w:val="center"/>
            <w:hideMark/>
          </w:tcPr>
          <w:p w14:paraId="3B7A42A6" w14:textId="54AFEC5F"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843E61">
              <w:rPr>
                <w:b/>
                <w:bCs/>
                <w:color w:val="FFFFFF" w:themeColor="background1"/>
                <w:lang w:val="en-US"/>
              </w:rPr>
              <w:t>Percentage of Housing Growth</w:t>
            </w:r>
          </w:p>
        </w:tc>
      </w:tr>
      <w:tr w:rsidR="001658FE" w:rsidRPr="00843E61" w14:paraId="3BE1B496" w14:textId="77777777" w:rsidTr="0084196F">
        <w:trPr>
          <w:trHeight w:val="70"/>
        </w:trPr>
        <w:tc>
          <w:tcPr>
            <w:cnfStyle w:val="001000000000" w:firstRow="0" w:lastRow="0" w:firstColumn="1" w:lastColumn="0" w:oddVBand="0" w:evenVBand="0" w:oddHBand="0" w:evenHBand="0" w:firstRowFirstColumn="0" w:firstRowLastColumn="0" w:lastRowFirstColumn="0" w:lastRowLastColumn="0"/>
            <w:tcW w:w="3860" w:type="dxa"/>
            <w:hideMark/>
          </w:tcPr>
          <w:p w14:paraId="41F5E553" w14:textId="77777777" w:rsidR="001658FE" w:rsidRPr="00843E61" w:rsidRDefault="001658FE" w:rsidP="007C2BCA">
            <w:pPr>
              <w:pStyle w:val="BodyText125"/>
              <w:spacing w:after="0"/>
              <w:rPr>
                <w:lang w:val="en-US"/>
              </w:rPr>
            </w:pPr>
            <w:r>
              <w:rPr>
                <w:lang w:val="en-US"/>
              </w:rPr>
              <w:t>Within Urban Boundary</w:t>
            </w:r>
          </w:p>
        </w:tc>
        <w:tc>
          <w:tcPr>
            <w:tcW w:w="2793" w:type="dxa"/>
            <w:vAlign w:val="center"/>
          </w:tcPr>
          <w:p w14:paraId="116B7D8B" w14:textId="7777777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9,405</w:t>
            </w:r>
          </w:p>
        </w:tc>
        <w:tc>
          <w:tcPr>
            <w:tcW w:w="2877" w:type="dxa"/>
            <w:vAlign w:val="center"/>
          </w:tcPr>
          <w:p w14:paraId="63BBEF8C" w14:textId="7777777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100%</w:t>
            </w:r>
          </w:p>
        </w:tc>
      </w:tr>
      <w:tr w:rsidR="001658FE" w:rsidRPr="00843E61" w14:paraId="59F7F04D" w14:textId="77777777" w:rsidTr="0084196F">
        <w:trPr>
          <w:trHeight w:val="70"/>
        </w:trPr>
        <w:tc>
          <w:tcPr>
            <w:cnfStyle w:val="001000000000" w:firstRow="0" w:lastRow="0" w:firstColumn="1" w:lastColumn="0" w:oddVBand="0" w:evenVBand="0" w:oddHBand="0" w:evenHBand="0" w:firstRowFirstColumn="0" w:firstRowLastColumn="0" w:lastRowFirstColumn="0" w:lastRowLastColumn="0"/>
            <w:tcW w:w="3860" w:type="dxa"/>
            <w:hideMark/>
          </w:tcPr>
          <w:p w14:paraId="5CD9B974" w14:textId="77777777" w:rsidR="001658FE" w:rsidRPr="00843E61" w:rsidRDefault="001658FE" w:rsidP="007C2BCA">
            <w:pPr>
              <w:pStyle w:val="BodyText125"/>
              <w:spacing w:after="0"/>
              <w:rPr>
                <w:lang w:val="en-US"/>
              </w:rPr>
            </w:pPr>
            <w:r>
              <w:rPr>
                <w:lang w:val="en-US"/>
              </w:rPr>
              <w:t>Outside Urban Boundary</w:t>
            </w:r>
          </w:p>
        </w:tc>
        <w:tc>
          <w:tcPr>
            <w:tcW w:w="2793" w:type="dxa"/>
            <w:vAlign w:val="center"/>
          </w:tcPr>
          <w:p w14:paraId="27AC849D" w14:textId="7777777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22</w:t>
            </w:r>
          </w:p>
        </w:tc>
        <w:tc>
          <w:tcPr>
            <w:tcW w:w="2877" w:type="dxa"/>
            <w:vAlign w:val="center"/>
          </w:tcPr>
          <w:p w14:paraId="20683CF9" w14:textId="7777777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&lt;1%</w:t>
            </w:r>
          </w:p>
        </w:tc>
      </w:tr>
      <w:tr w:rsidR="001658FE" w:rsidRPr="00843E61" w14:paraId="5519A939" w14:textId="77777777" w:rsidTr="0084196F">
        <w:trPr>
          <w:trHeight w:val="70"/>
        </w:trPr>
        <w:tc>
          <w:tcPr>
            <w:cnfStyle w:val="001000000000" w:firstRow="0" w:lastRow="0" w:firstColumn="1" w:lastColumn="0" w:oddVBand="0" w:evenVBand="0" w:oddHBand="0" w:evenHBand="0" w:firstRowFirstColumn="0" w:firstRowLastColumn="0" w:lastRowFirstColumn="0" w:lastRowLastColumn="0"/>
            <w:tcW w:w="3860" w:type="dxa"/>
            <w:shd w:val="clear" w:color="auto" w:fill="D5DCE3" w:themeFill="text1" w:themeFillTint="33"/>
          </w:tcPr>
          <w:p w14:paraId="17CA9DA1" w14:textId="77777777" w:rsidR="001658FE" w:rsidRDefault="001658FE" w:rsidP="007C2BCA">
            <w:pPr>
              <w:pStyle w:val="BodyText125"/>
              <w:spacing w:after="0"/>
              <w:rPr>
                <w:b/>
                <w:bCs/>
                <w:iCs/>
                <w:lang w:val="en-US"/>
              </w:rPr>
            </w:pPr>
            <w:r>
              <w:rPr>
                <w:b/>
                <w:bCs/>
                <w:iCs/>
                <w:lang w:val="en-US"/>
              </w:rPr>
              <w:t>City of Cambridge</w:t>
            </w:r>
          </w:p>
        </w:tc>
        <w:tc>
          <w:tcPr>
            <w:tcW w:w="2793" w:type="dxa"/>
            <w:shd w:val="clear" w:color="auto" w:fill="D5DCE3" w:themeFill="text1" w:themeFillTint="33"/>
            <w:vAlign w:val="center"/>
          </w:tcPr>
          <w:p w14:paraId="530DF34B" w14:textId="7777777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b/>
                <w:bCs/>
                <w:iCs/>
                <w:lang w:val="en-US"/>
              </w:rPr>
            </w:pPr>
            <w:r>
              <w:rPr>
                <w:b/>
                <w:bCs/>
                <w:iCs/>
                <w:lang w:val="en-US"/>
              </w:rPr>
              <w:t>9,427</w:t>
            </w:r>
          </w:p>
        </w:tc>
        <w:tc>
          <w:tcPr>
            <w:tcW w:w="2877" w:type="dxa"/>
            <w:shd w:val="clear" w:color="auto" w:fill="D5DCE3" w:themeFill="text1" w:themeFillTint="33"/>
            <w:vAlign w:val="center"/>
          </w:tcPr>
          <w:p w14:paraId="593B5ADD" w14:textId="7777777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b/>
                <w:bCs/>
                <w:iCs/>
                <w:lang w:val="en-US"/>
              </w:rPr>
            </w:pPr>
            <w:r>
              <w:rPr>
                <w:b/>
                <w:bCs/>
                <w:iCs/>
                <w:lang w:val="en-US"/>
              </w:rPr>
              <w:t>100%</w:t>
            </w:r>
          </w:p>
        </w:tc>
      </w:tr>
    </w:tbl>
    <w:p w14:paraId="547DE0D9" w14:textId="77777777" w:rsidR="001658FE" w:rsidRPr="00843E61" w:rsidRDefault="001658FE" w:rsidP="001658FE">
      <w:pPr>
        <w:pStyle w:val="BodyText125"/>
        <w:rPr>
          <w:lang w:val="en-US"/>
        </w:rPr>
      </w:pPr>
      <w:r w:rsidRPr="00843E61">
        <w:t>Note</w:t>
      </w:r>
      <w:r w:rsidRPr="00843E61">
        <w:rPr>
          <w:lang w:val="en-US"/>
        </w:rPr>
        <w:t>:  Figures may not sum precisely due to rounding.</w:t>
      </w:r>
      <w:r w:rsidRPr="00843E61">
        <w:rPr>
          <w:lang w:val="en-US"/>
        </w:rPr>
        <w:br w:type="page"/>
      </w:r>
    </w:p>
    <w:p w14:paraId="7C27C94F" w14:textId="77777777" w:rsidR="001658FE" w:rsidRPr="00843E61" w:rsidRDefault="001658FE" w:rsidP="00F43901">
      <w:pPr>
        <w:pStyle w:val="BodyText125"/>
        <w:numPr>
          <w:ilvl w:val="0"/>
          <w:numId w:val="10"/>
        </w:numPr>
        <w:rPr>
          <w:lang w:val="en-US"/>
        </w:rPr>
      </w:pPr>
      <w:r w:rsidRPr="00843E61">
        <w:rPr>
          <w:lang w:val="en-US"/>
        </w:rPr>
        <w:t xml:space="preserve">Planning Period </w:t>
      </w:r>
    </w:p>
    <w:p w14:paraId="1D62CBCB" w14:textId="77777777" w:rsidR="001658FE" w:rsidRPr="00843E61" w:rsidRDefault="001658FE" w:rsidP="001658FE">
      <w:pPr>
        <w:pStyle w:val="BodyTextbullets125"/>
        <w:ind w:left="1440"/>
      </w:pPr>
      <w:r w:rsidRPr="00843E61">
        <w:t>Short- and longer-term time horizons are required for the D.C. process.  The D.C.A. limits the planning horizon for transit services to a 10-year planning horizon.  All other services can utilize a longer planning period if the municipality has identified the growth-related capital infrastructure needs associated with the longer-term growth planning period.</w:t>
      </w:r>
    </w:p>
    <w:p w14:paraId="7230FA64" w14:textId="77777777" w:rsidR="001658FE" w:rsidRPr="00843E61" w:rsidRDefault="001658FE" w:rsidP="00F43901">
      <w:pPr>
        <w:pStyle w:val="BodyText125"/>
        <w:numPr>
          <w:ilvl w:val="0"/>
          <w:numId w:val="10"/>
        </w:numPr>
        <w:rPr>
          <w:lang w:val="en-US"/>
        </w:rPr>
      </w:pPr>
      <w:r w:rsidRPr="00843E61">
        <w:rPr>
          <w:lang w:val="en-US"/>
        </w:rPr>
        <w:t xml:space="preserve">Population in New Units (Appendix A – Schedules 3 and </w:t>
      </w:r>
      <w:r>
        <w:rPr>
          <w:lang w:val="en-US"/>
        </w:rPr>
        <w:t>4</w:t>
      </w:r>
      <w:r w:rsidRPr="00843E61">
        <w:rPr>
          <w:lang w:val="en-US"/>
        </w:rPr>
        <w:t>)</w:t>
      </w:r>
    </w:p>
    <w:p w14:paraId="5C02D1C0" w14:textId="6805C849" w:rsidR="001658FE" w:rsidRPr="00843E61" w:rsidRDefault="001658FE" w:rsidP="001658FE">
      <w:pPr>
        <w:pStyle w:val="BodyTextbullets125"/>
        <w:ind w:left="1440"/>
      </w:pPr>
      <w:r w:rsidRPr="00843E61">
        <w:t xml:space="preserve">The number of housing units to be constructed by </w:t>
      </w:r>
      <w:r>
        <w:t>2033</w:t>
      </w:r>
      <w:r w:rsidRPr="00843E61">
        <w:t xml:space="preserve"> in the </w:t>
      </w:r>
      <w:r>
        <w:t>City of Cambridge</w:t>
      </w:r>
      <w:r w:rsidRPr="00843E61">
        <w:t xml:space="preserve"> over the forecast period is presented in Table 3-1.  Over the </w:t>
      </w:r>
      <w:r w:rsidR="007C2BCA">
        <w:t>10-year</w:t>
      </w:r>
      <w:r w:rsidRPr="00843E61">
        <w:t xml:space="preserve"> forecast period, the </w:t>
      </w:r>
      <w:r>
        <w:t>City</w:t>
      </w:r>
      <w:r w:rsidRPr="00843E61">
        <w:t xml:space="preserve"> is anticipated to average approximately </w:t>
      </w:r>
      <w:r>
        <w:t>945</w:t>
      </w:r>
      <w:r w:rsidRPr="00843E61">
        <w:t xml:space="preserve"> new housing units per year.</w:t>
      </w:r>
    </w:p>
    <w:p w14:paraId="7335A3AA" w14:textId="38016B59" w:rsidR="001658FE" w:rsidRPr="00843E61" w:rsidRDefault="001658FE" w:rsidP="001658FE">
      <w:pPr>
        <w:pStyle w:val="BodyTextbullets125"/>
        <w:ind w:left="1440"/>
      </w:pPr>
      <w:r w:rsidRPr="00843E61">
        <w:t xml:space="preserve">Institutional population </w:t>
      </w:r>
      <w:r w:rsidRPr="00843E61">
        <w:rPr>
          <w:vertAlign w:val="superscript"/>
        </w:rPr>
        <w:t>[</w:t>
      </w:r>
      <w:r w:rsidRPr="00843E61">
        <w:rPr>
          <w:vertAlign w:val="superscript"/>
        </w:rPr>
        <w:footnoteReference w:id="2"/>
      </w:r>
      <w:r w:rsidRPr="00843E61">
        <w:rPr>
          <w:vertAlign w:val="superscript"/>
        </w:rPr>
        <w:t>]</w:t>
      </w:r>
      <w:r w:rsidRPr="00843E61">
        <w:t xml:space="preserve"> is anticipated to increase by approximately </w:t>
      </w:r>
      <w:r>
        <w:t>220</w:t>
      </w:r>
      <w:r w:rsidRPr="00843E61">
        <w:t xml:space="preserve"> people </w:t>
      </w:r>
      <w:r w:rsidR="007C2BCA">
        <w:t>over the forecast</w:t>
      </w:r>
      <w:r w:rsidRPr="00843E61">
        <w:t>.</w:t>
      </w:r>
    </w:p>
    <w:p w14:paraId="6BD4A6B1" w14:textId="77777777" w:rsidR="001658FE" w:rsidRPr="00843E61" w:rsidRDefault="001658FE" w:rsidP="001658FE">
      <w:pPr>
        <w:pStyle w:val="BodyTextbullets125"/>
        <w:ind w:left="1440"/>
      </w:pPr>
      <w:r w:rsidRPr="00843E61">
        <w:t>Population in new units is derived from Schedules 3</w:t>
      </w:r>
      <w:r>
        <w:t xml:space="preserve"> </w:t>
      </w:r>
      <w:r w:rsidRPr="00843E61">
        <w:t xml:space="preserve">and </w:t>
      </w:r>
      <w:r>
        <w:t>4</w:t>
      </w:r>
      <w:r w:rsidRPr="00843E61">
        <w:t xml:space="preserve">, which incorporate historical development activity, anticipated units (see unit mix discussion) and average persons per unit (P.P.U.) by dwelling type for new units. </w:t>
      </w:r>
    </w:p>
    <w:p w14:paraId="580BD0E8" w14:textId="77777777" w:rsidR="001658FE" w:rsidRPr="00843E61" w:rsidRDefault="001658FE" w:rsidP="001658FE">
      <w:pPr>
        <w:pStyle w:val="BodyTextbullets125"/>
        <w:ind w:left="1440"/>
      </w:pPr>
      <w:r w:rsidRPr="00843E61">
        <w:t xml:space="preserve">Schedule </w:t>
      </w:r>
      <w:r>
        <w:t>6</w:t>
      </w:r>
      <w:r w:rsidRPr="00843E61">
        <w:t xml:space="preserve"> summarizes the average P.P.U. assumed for new housing units by age and type of dwelling based on Statistics Canada 2021 custom Census data for the </w:t>
      </w:r>
      <w:r>
        <w:t>City of Cambridge.</w:t>
      </w:r>
      <w:r w:rsidRPr="00843E61">
        <w:t xml:space="preserve"> </w:t>
      </w:r>
      <w:r>
        <w:t xml:space="preserve"> </w:t>
      </w:r>
      <w:r w:rsidRPr="00843E61">
        <w:t xml:space="preserve">The total calculated P.P.U. for all density types has been adjusted accordingly to account for the P.P.U. trends which has been recently experienced in both new and older units.  Forecasted </w:t>
      </w:r>
      <w:r>
        <w:t>1</w:t>
      </w:r>
      <w:r w:rsidRPr="00843E61">
        <w:t>5-year average P.P.U.s by dwelling type are as follows:</w:t>
      </w:r>
    </w:p>
    <w:p w14:paraId="585A30D1" w14:textId="77777777" w:rsidR="001658FE" w:rsidRPr="00843E61" w:rsidRDefault="001658FE" w:rsidP="001658FE">
      <w:pPr>
        <w:pStyle w:val="BodyTextbullets125"/>
        <w:numPr>
          <w:ilvl w:val="1"/>
          <w:numId w:val="1"/>
        </w:numPr>
        <w:ind w:firstLine="450"/>
      </w:pPr>
      <w:r w:rsidRPr="00843E61">
        <w:t xml:space="preserve">Low density: </w:t>
      </w:r>
      <w:r w:rsidRPr="00843E61">
        <w:tab/>
      </w:r>
      <w:r>
        <w:tab/>
      </w:r>
      <w:r>
        <w:tab/>
        <w:t>3.821</w:t>
      </w:r>
    </w:p>
    <w:p w14:paraId="170FA848" w14:textId="77777777" w:rsidR="001658FE" w:rsidRPr="00843E61" w:rsidRDefault="001658FE" w:rsidP="001658FE">
      <w:pPr>
        <w:pStyle w:val="BodyTextbullets125"/>
        <w:numPr>
          <w:ilvl w:val="1"/>
          <w:numId w:val="1"/>
        </w:numPr>
        <w:ind w:firstLine="450"/>
      </w:pPr>
      <w:r w:rsidRPr="00843E61">
        <w:t xml:space="preserve">Medium density: </w:t>
      </w:r>
      <w:r w:rsidRPr="00843E61">
        <w:tab/>
      </w:r>
      <w:r>
        <w:t>2.555</w:t>
      </w:r>
    </w:p>
    <w:p w14:paraId="4EB78A47" w14:textId="77777777" w:rsidR="001658FE" w:rsidRPr="00843E61" w:rsidRDefault="001658FE" w:rsidP="001658FE">
      <w:pPr>
        <w:pStyle w:val="BodyTextbullets125"/>
        <w:numPr>
          <w:ilvl w:val="1"/>
          <w:numId w:val="1"/>
        </w:numPr>
        <w:ind w:firstLine="450"/>
      </w:pPr>
      <w:r w:rsidRPr="00843E61">
        <w:t xml:space="preserve">High density: </w:t>
      </w:r>
      <w:r w:rsidRPr="00843E61">
        <w:tab/>
      </w:r>
      <w:r>
        <w:tab/>
      </w:r>
      <w:r w:rsidRPr="00843E61">
        <w:t>1</w:t>
      </w:r>
      <w:r>
        <w:t>.800</w:t>
      </w:r>
    </w:p>
    <w:p w14:paraId="7240A181" w14:textId="77777777" w:rsidR="001658FE" w:rsidRPr="00843E61" w:rsidRDefault="001658FE" w:rsidP="00F43901">
      <w:pPr>
        <w:pStyle w:val="BodyText125"/>
        <w:numPr>
          <w:ilvl w:val="0"/>
          <w:numId w:val="10"/>
        </w:numPr>
        <w:rPr>
          <w:lang w:val="en-US"/>
        </w:rPr>
      </w:pPr>
      <w:r w:rsidRPr="00843E61">
        <w:rPr>
          <w:lang w:val="en-US"/>
        </w:rPr>
        <w:t>Existing Units and Population Change (Appendix A – Schedules 3</w:t>
      </w:r>
      <w:r>
        <w:rPr>
          <w:lang w:val="en-US"/>
        </w:rPr>
        <w:t xml:space="preserve"> </w:t>
      </w:r>
      <w:r w:rsidRPr="00843E61">
        <w:rPr>
          <w:lang w:val="en-US"/>
        </w:rPr>
        <w:t xml:space="preserve">and </w:t>
      </w:r>
      <w:r>
        <w:rPr>
          <w:lang w:val="en-US"/>
        </w:rPr>
        <w:t>4</w:t>
      </w:r>
      <w:r w:rsidRPr="00843E61">
        <w:rPr>
          <w:lang w:val="en-US"/>
        </w:rPr>
        <w:t>)</w:t>
      </w:r>
    </w:p>
    <w:p w14:paraId="3480B84B" w14:textId="77777777" w:rsidR="001658FE" w:rsidRPr="00843E61" w:rsidRDefault="001658FE" w:rsidP="001658FE">
      <w:pPr>
        <w:pStyle w:val="BodyTextbullets125"/>
        <w:ind w:left="1440"/>
      </w:pPr>
      <w:r w:rsidRPr="00843E61">
        <w:t xml:space="preserve">Existing households for </w:t>
      </w:r>
      <w:r>
        <w:t>late</w:t>
      </w:r>
      <w:r w:rsidRPr="00843E61">
        <w:t xml:space="preserve">-2023 are based on the 2021 Census households, plus estimated residential units constructed between mid-2021 to the beginning of the growth period, assuming a </w:t>
      </w:r>
      <w:r>
        <w:t xml:space="preserve">minimum </w:t>
      </w:r>
      <w:r w:rsidRPr="00843E61">
        <w:t>six-month lag between construction and occupancy (see Schedule 3).</w:t>
      </w:r>
    </w:p>
    <w:p w14:paraId="492AD469" w14:textId="37074952" w:rsidR="001658FE" w:rsidRPr="00843E61" w:rsidRDefault="001658FE" w:rsidP="001658FE">
      <w:pPr>
        <w:pStyle w:val="BodyTextbullets125"/>
        <w:ind w:left="1440"/>
      </w:pPr>
      <w:r w:rsidRPr="00843E61">
        <w:t xml:space="preserve">The change in average occupancy levels for existing housing units is calculated in Schedules 3 </w:t>
      </w:r>
      <w:r>
        <w:t>and 4</w:t>
      </w:r>
      <w:r w:rsidRPr="00843E61">
        <w:t>.</w:t>
      </w:r>
      <w:r w:rsidRPr="00843E61">
        <w:rPr>
          <w:vertAlign w:val="superscript"/>
        </w:rPr>
        <w:t>[</w:t>
      </w:r>
      <w:r w:rsidRPr="00843E61">
        <w:rPr>
          <w:vertAlign w:val="superscript"/>
        </w:rPr>
        <w:footnoteReference w:id="3"/>
      </w:r>
      <w:r w:rsidRPr="00843E61">
        <w:rPr>
          <w:vertAlign w:val="superscript"/>
        </w:rPr>
        <w:t>]</w:t>
      </w:r>
      <w:r w:rsidRPr="00843E61">
        <w:t xml:space="preserve">  The forecast population change in existing households over the </w:t>
      </w:r>
      <w:r w:rsidR="007C2BCA">
        <w:t xml:space="preserve">10-year </w:t>
      </w:r>
      <w:r w:rsidRPr="00843E61">
        <w:t xml:space="preserve">forecast period is </w:t>
      </w:r>
      <w:r w:rsidR="007C2BCA">
        <w:t>anticipated</w:t>
      </w:r>
      <w:r w:rsidRPr="00843E61">
        <w:t xml:space="preserve"> to decline by approximately </w:t>
      </w:r>
      <w:r>
        <w:t>200</w:t>
      </w:r>
      <w:r w:rsidRPr="00843E61">
        <w:t>.</w:t>
      </w:r>
    </w:p>
    <w:p w14:paraId="0B239EB5" w14:textId="77777777" w:rsidR="001658FE" w:rsidRPr="00843E61" w:rsidRDefault="001658FE" w:rsidP="00F43901">
      <w:pPr>
        <w:pStyle w:val="BodyText125"/>
        <w:numPr>
          <w:ilvl w:val="0"/>
          <w:numId w:val="10"/>
        </w:numPr>
        <w:rPr>
          <w:lang w:val="en-US"/>
        </w:rPr>
      </w:pPr>
      <w:r w:rsidRPr="00843E61">
        <w:rPr>
          <w:lang w:val="en-US"/>
        </w:rPr>
        <w:t xml:space="preserve">Employment (Appendix A – Schedules </w:t>
      </w:r>
      <w:r>
        <w:rPr>
          <w:lang w:val="en-US"/>
        </w:rPr>
        <w:t>8</w:t>
      </w:r>
      <w:r w:rsidRPr="00843E61">
        <w:rPr>
          <w:lang w:val="en-US"/>
        </w:rPr>
        <w:t xml:space="preserve">a, </w:t>
      </w:r>
      <w:r>
        <w:rPr>
          <w:lang w:val="en-US"/>
        </w:rPr>
        <w:t>8</w:t>
      </w:r>
      <w:r w:rsidRPr="00843E61">
        <w:rPr>
          <w:lang w:val="en-US"/>
        </w:rPr>
        <w:t xml:space="preserve">b and </w:t>
      </w:r>
      <w:r>
        <w:rPr>
          <w:lang w:val="en-US"/>
        </w:rPr>
        <w:t>8</w:t>
      </w:r>
      <w:r w:rsidRPr="00843E61">
        <w:rPr>
          <w:lang w:val="en-US"/>
        </w:rPr>
        <w:t xml:space="preserve">c) </w:t>
      </w:r>
    </w:p>
    <w:p w14:paraId="708C4212" w14:textId="77777777" w:rsidR="001658FE" w:rsidRPr="00843E61" w:rsidRDefault="001658FE" w:rsidP="001658FE">
      <w:pPr>
        <w:pStyle w:val="BodyTextbullets125"/>
        <w:ind w:left="1440"/>
      </w:pPr>
      <w:r w:rsidRPr="00843E61">
        <w:t xml:space="preserve">The employment projections provided herein are largely based on the activity rate method, which is defined as the number of jobs in the </w:t>
      </w:r>
      <w:r>
        <w:t>City</w:t>
      </w:r>
      <w:r w:rsidRPr="00843E61">
        <w:t xml:space="preserve"> divided by the number of residents.  Key employment sectors include primary, industrial, commercial/population-related, institutional, and work at home, which are considered individually below.</w:t>
      </w:r>
    </w:p>
    <w:p w14:paraId="4FCF8ED8" w14:textId="77777777" w:rsidR="001658FE" w:rsidRPr="00843E61" w:rsidRDefault="001658FE" w:rsidP="001658FE">
      <w:pPr>
        <w:pStyle w:val="BodyTextbullets125"/>
        <w:ind w:left="1440"/>
      </w:pPr>
      <w:r w:rsidRPr="00843E61">
        <w:t xml:space="preserve">2016 employment data </w:t>
      </w:r>
      <w:r w:rsidRPr="00843E61">
        <w:rPr>
          <w:vertAlign w:val="superscript"/>
        </w:rPr>
        <w:t>[</w:t>
      </w:r>
      <w:r w:rsidRPr="00843E61">
        <w:rPr>
          <w:vertAlign w:val="superscript"/>
        </w:rPr>
        <w:footnoteReference w:id="4"/>
      </w:r>
      <w:r w:rsidRPr="00843E61">
        <w:rPr>
          <w:vertAlign w:val="superscript"/>
        </w:rPr>
        <w:t>],[</w:t>
      </w:r>
      <w:r w:rsidRPr="00843E61">
        <w:rPr>
          <w:vertAlign w:val="superscript"/>
        </w:rPr>
        <w:footnoteReference w:id="5"/>
      </w:r>
      <w:r w:rsidRPr="00843E61">
        <w:rPr>
          <w:vertAlign w:val="superscript"/>
        </w:rPr>
        <w:t>]</w:t>
      </w:r>
      <w:r w:rsidRPr="00843E61">
        <w:t xml:space="preserve"> (place of work) for the </w:t>
      </w:r>
      <w:r>
        <w:t>City of Cambridge</w:t>
      </w:r>
      <w:r w:rsidRPr="00843E61">
        <w:t xml:space="preserve"> is outlined in Schedule </w:t>
      </w:r>
      <w:r>
        <w:t>8</w:t>
      </w:r>
      <w:r w:rsidRPr="00843E61">
        <w:t xml:space="preserve">a. </w:t>
      </w:r>
      <w:r>
        <w:t xml:space="preserve"> </w:t>
      </w:r>
      <w:r w:rsidRPr="00843E61">
        <w:t>The 2016 employment base is comprised of the following sectors:</w:t>
      </w:r>
    </w:p>
    <w:p w14:paraId="68A7DA4B" w14:textId="77777777" w:rsidR="001658FE" w:rsidRPr="00843E61" w:rsidRDefault="001658FE" w:rsidP="001658FE">
      <w:pPr>
        <w:pStyle w:val="BodyTextbullets125"/>
        <w:numPr>
          <w:ilvl w:val="1"/>
          <w:numId w:val="1"/>
        </w:numPr>
        <w:ind w:firstLine="450"/>
      </w:pPr>
      <w:bookmarkStart w:id="125" w:name="_Hlk102721727"/>
      <w:r>
        <w:t>200</w:t>
      </w:r>
      <w:r w:rsidRPr="00843E61">
        <w:t xml:space="preserve"> primary (</w:t>
      </w:r>
      <w:r>
        <w:t>0</w:t>
      </w:r>
      <w:r w:rsidRPr="00843E61">
        <w:t>%);</w:t>
      </w:r>
    </w:p>
    <w:p w14:paraId="0A6E69AF" w14:textId="77777777" w:rsidR="001658FE" w:rsidRPr="00843E61" w:rsidRDefault="001658FE" w:rsidP="001658FE">
      <w:pPr>
        <w:pStyle w:val="BodyTextbullets125"/>
        <w:numPr>
          <w:ilvl w:val="1"/>
          <w:numId w:val="1"/>
        </w:numPr>
        <w:ind w:firstLine="450"/>
      </w:pPr>
      <w:r>
        <w:t>3,135</w:t>
      </w:r>
      <w:r w:rsidRPr="00843E61">
        <w:t xml:space="preserve"> work at home employment (</w:t>
      </w:r>
      <w:r>
        <w:t>5</w:t>
      </w:r>
      <w:r w:rsidRPr="00843E61">
        <w:t>%);</w:t>
      </w:r>
    </w:p>
    <w:p w14:paraId="48D90A68" w14:textId="77777777" w:rsidR="001658FE" w:rsidRPr="00843E61" w:rsidRDefault="001658FE" w:rsidP="001658FE">
      <w:pPr>
        <w:pStyle w:val="BodyTextbullets125"/>
        <w:numPr>
          <w:ilvl w:val="1"/>
          <w:numId w:val="1"/>
        </w:numPr>
        <w:ind w:firstLine="450"/>
      </w:pPr>
      <w:r>
        <w:t>29,118</w:t>
      </w:r>
      <w:r w:rsidRPr="00843E61">
        <w:t xml:space="preserve"> industrial (</w:t>
      </w:r>
      <w:r>
        <w:t>45</w:t>
      </w:r>
      <w:r w:rsidRPr="00843E61">
        <w:t>%);</w:t>
      </w:r>
    </w:p>
    <w:p w14:paraId="49711B96" w14:textId="77777777" w:rsidR="001658FE" w:rsidRPr="00843E61" w:rsidRDefault="001658FE" w:rsidP="001658FE">
      <w:pPr>
        <w:pStyle w:val="BodyTextbullets125"/>
        <w:numPr>
          <w:ilvl w:val="1"/>
          <w:numId w:val="1"/>
        </w:numPr>
        <w:ind w:firstLine="450"/>
      </w:pPr>
      <w:r>
        <w:t>22,088</w:t>
      </w:r>
      <w:r w:rsidRPr="00843E61">
        <w:t xml:space="preserve"> commercial/population-related (3</w:t>
      </w:r>
      <w:r>
        <w:t>4</w:t>
      </w:r>
      <w:r w:rsidRPr="00843E61">
        <w:t>%); and</w:t>
      </w:r>
    </w:p>
    <w:p w14:paraId="133C213C" w14:textId="77777777" w:rsidR="001658FE" w:rsidRPr="00843E61" w:rsidRDefault="001658FE" w:rsidP="001658FE">
      <w:pPr>
        <w:pStyle w:val="BodyTextbullets125"/>
        <w:numPr>
          <w:ilvl w:val="1"/>
          <w:numId w:val="1"/>
        </w:numPr>
        <w:ind w:firstLine="450"/>
      </w:pPr>
      <w:r>
        <w:t>10,750</w:t>
      </w:r>
      <w:r w:rsidRPr="00843E61">
        <w:t xml:space="preserve"> institutional (</w:t>
      </w:r>
      <w:r>
        <w:t>16</w:t>
      </w:r>
      <w:r w:rsidRPr="00843E61">
        <w:t>%).</w:t>
      </w:r>
    </w:p>
    <w:bookmarkEnd w:id="125"/>
    <w:p w14:paraId="04D3C92D" w14:textId="77777777" w:rsidR="001658FE" w:rsidRPr="00843E61" w:rsidRDefault="001658FE" w:rsidP="001658FE">
      <w:pPr>
        <w:pStyle w:val="BodyTextbullets125"/>
        <w:ind w:left="1440"/>
      </w:pPr>
      <w:r w:rsidRPr="00843E61">
        <w:t xml:space="preserve">The 2016 employment by usual place of work, including work at home, is </w:t>
      </w:r>
      <w:r>
        <w:t>65</w:t>
      </w:r>
      <w:r w:rsidRPr="00843E61">
        <w:t>,</w:t>
      </w:r>
      <w:r>
        <w:t>290</w:t>
      </w:r>
      <w:r w:rsidRPr="00843E61">
        <w:t xml:space="preserve">.  An additional </w:t>
      </w:r>
      <w:r>
        <w:t>7,175</w:t>
      </w:r>
      <w:r w:rsidRPr="00843E61">
        <w:t xml:space="preserve"> employees have been identified for the </w:t>
      </w:r>
      <w:r>
        <w:t>City of Cambridge</w:t>
      </w:r>
      <w:r w:rsidRPr="00843E61">
        <w:t xml:space="preserve"> in 2016 that have no fixed place of work (N.F.P.O.W.).</w:t>
      </w:r>
      <w:r w:rsidRPr="00843E61">
        <w:rPr>
          <w:vertAlign w:val="superscript"/>
        </w:rPr>
        <w:t>[</w:t>
      </w:r>
      <w:r w:rsidRPr="00843E61">
        <w:rPr>
          <w:vertAlign w:val="superscript"/>
        </w:rPr>
        <w:footnoteReference w:id="6"/>
      </w:r>
      <w:r w:rsidRPr="00843E61">
        <w:rPr>
          <w:vertAlign w:val="superscript"/>
        </w:rPr>
        <w:t>]</w:t>
      </w:r>
    </w:p>
    <w:p w14:paraId="4BD976AC" w14:textId="419B814E" w:rsidR="001658FE" w:rsidRPr="00843E61" w:rsidRDefault="001658FE" w:rsidP="001658FE">
      <w:pPr>
        <w:pStyle w:val="BodyTextbullets125"/>
        <w:ind w:left="1440"/>
      </w:pPr>
      <w:r w:rsidRPr="00843E61">
        <w:t xml:space="preserve">Total employment, including work at home and N.F.P.O.W. for the </w:t>
      </w:r>
      <w:r>
        <w:t>City of Cambridge</w:t>
      </w:r>
      <w:r w:rsidRPr="00843E61">
        <w:t xml:space="preserve"> is anticipated to reach approximately </w:t>
      </w:r>
      <w:r>
        <w:t>97</w:t>
      </w:r>
      <w:r w:rsidRPr="00843E61">
        <w:t>,</w:t>
      </w:r>
      <w:r>
        <w:t>850</w:t>
      </w:r>
      <w:r w:rsidRPr="00843E61">
        <w:t xml:space="preserve"> by </w:t>
      </w:r>
      <w:r w:rsidR="007C2BCA">
        <w:t>the end of the forecast period</w:t>
      </w:r>
      <w:r w:rsidRPr="00843E61">
        <w:t xml:space="preserve">.  This represents an employment increase of approximately </w:t>
      </w:r>
      <w:r>
        <w:t>13,750</w:t>
      </w:r>
      <w:r w:rsidRPr="00843E61">
        <w:t xml:space="preserve"> for the 10-year forecast period.</w:t>
      </w:r>
    </w:p>
    <w:p w14:paraId="70AA8E95" w14:textId="77777777" w:rsidR="001658FE" w:rsidRPr="00843E61" w:rsidRDefault="001658FE" w:rsidP="001658FE">
      <w:pPr>
        <w:pStyle w:val="BodyTextbullets125"/>
        <w:ind w:left="1440"/>
      </w:pPr>
      <w:r w:rsidRPr="00843E61">
        <w:t xml:space="preserve">Schedule </w:t>
      </w:r>
      <w:r>
        <w:t>8</w:t>
      </w:r>
      <w:r w:rsidRPr="00843E61">
        <w:t>b, Appendix A, summarizes the employment forecast, excluding work at home employment and N.F.P.O.W. employment, which is the basis for the D.C. employment forecast.  The impact on municipal services from work at home employees has already been included in the population forecast.  The need for municipal services related to N.F.P.O.W. employees has largely been included in the employment forecast by usual place of work (i.e., employment and gross floor area generated from N.F.P.O.W. construction employment).  Furthermore, since these employees have no fixed work address, they cannot be captured in the non-residential G.F.A. calculation.  Accordingly, work at home and N.F.P.O.W. employees have been removed from the D.C.A. employment forecast and calculation.</w:t>
      </w:r>
    </w:p>
    <w:p w14:paraId="5A2CCBC2" w14:textId="715619A3" w:rsidR="001658FE" w:rsidRPr="00843E61" w:rsidRDefault="001658FE" w:rsidP="001658FE">
      <w:pPr>
        <w:pStyle w:val="BodyTextbullets125"/>
        <w:ind w:left="1440"/>
      </w:pPr>
      <w:r w:rsidRPr="00843E61">
        <w:t xml:space="preserve">Total employment for the </w:t>
      </w:r>
      <w:r>
        <w:t>City of Cambridge</w:t>
      </w:r>
      <w:r w:rsidRPr="00843E61">
        <w:t xml:space="preserve"> (excluding work at home and N.F.P.O.W. employment) is anticipated to reach approximately </w:t>
      </w:r>
      <w:r>
        <w:t>82,400</w:t>
      </w:r>
      <w:r w:rsidRPr="00843E61">
        <w:t xml:space="preserve"> by </w:t>
      </w:r>
      <w:r w:rsidR="007C2BCA">
        <w:t>the end of the forecast period</w:t>
      </w:r>
      <w:r w:rsidRPr="00843E61">
        <w:t xml:space="preserve">.  This represents an employment increase of approximately </w:t>
      </w:r>
      <w:r>
        <w:t>10,880</w:t>
      </w:r>
      <w:r w:rsidRPr="00843E61">
        <w:t xml:space="preserve"> for the 10-year forecast period. </w:t>
      </w:r>
      <w:r w:rsidRPr="00843E61">
        <w:rPr>
          <w:vertAlign w:val="superscript"/>
        </w:rPr>
        <w:t>[</w:t>
      </w:r>
      <w:r w:rsidRPr="00843E61">
        <w:rPr>
          <w:vertAlign w:val="superscript"/>
        </w:rPr>
        <w:footnoteReference w:id="7"/>
      </w:r>
      <w:r w:rsidRPr="00843E61">
        <w:rPr>
          <w:vertAlign w:val="superscript"/>
        </w:rPr>
        <w:t>]</w:t>
      </w:r>
    </w:p>
    <w:p w14:paraId="0391C565" w14:textId="77777777" w:rsidR="001658FE" w:rsidRPr="00843E61" w:rsidRDefault="001658FE" w:rsidP="00F43901">
      <w:pPr>
        <w:pStyle w:val="BodyText125"/>
        <w:numPr>
          <w:ilvl w:val="0"/>
          <w:numId w:val="10"/>
        </w:numPr>
        <w:rPr>
          <w:lang w:val="en-US"/>
        </w:rPr>
      </w:pPr>
      <w:r w:rsidRPr="00843E61">
        <w:rPr>
          <w:lang w:val="en-US"/>
        </w:rPr>
        <w:t xml:space="preserve">Non-Residential Sq.ft. Estimates (G.F.A.), Appendix A – Schedule </w:t>
      </w:r>
      <w:r>
        <w:rPr>
          <w:lang w:val="en-US"/>
        </w:rPr>
        <w:t>10</w:t>
      </w:r>
      <w:r w:rsidRPr="00843E61">
        <w:rPr>
          <w:lang w:val="en-US"/>
        </w:rPr>
        <w:t>b)</w:t>
      </w:r>
    </w:p>
    <w:p w14:paraId="0A4E6719" w14:textId="77777777" w:rsidR="001658FE" w:rsidRPr="00843E61" w:rsidRDefault="001658FE" w:rsidP="001658FE">
      <w:pPr>
        <w:pStyle w:val="BodyTextbullets125"/>
        <w:ind w:left="1440"/>
      </w:pPr>
      <w:r w:rsidRPr="00843E61">
        <w:t xml:space="preserve">Square footage estimates were calculated in Schedule </w:t>
      </w:r>
      <w:r>
        <w:t>10</w:t>
      </w:r>
      <w:r w:rsidRPr="00843E61">
        <w:t>b based on the following employee density assumptions:</w:t>
      </w:r>
    </w:p>
    <w:p w14:paraId="7CD5CE6B" w14:textId="77777777" w:rsidR="001658FE" w:rsidRPr="00843E61" w:rsidRDefault="001658FE" w:rsidP="001658FE">
      <w:pPr>
        <w:pStyle w:val="BodyTextbullets125"/>
        <w:numPr>
          <w:ilvl w:val="1"/>
          <w:numId w:val="1"/>
        </w:numPr>
        <w:ind w:firstLine="450"/>
      </w:pPr>
      <w:r>
        <w:t>1</w:t>
      </w:r>
      <w:r w:rsidRPr="00843E61">
        <w:t>,</w:t>
      </w:r>
      <w:r>
        <w:t>1</w:t>
      </w:r>
      <w:r w:rsidRPr="00843E61">
        <w:t>00 sq.ft. per employee for industrial;</w:t>
      </w:r>
    </w:p>
    <w:p w14:paraId="315CE2BF" w14:textId="77777777" w:rsidR="001658FE" w:rsidRPr="00843E61" w:rsidRDefault="001658FE" w:rsidP="001658FE">
      <w:pPr>
        <w:pStyle w:val="BodyTextbullets125"/>
        <w:numPr>
          <w:ilvl w:val="1"/>
          <w:numId w:val="1"/>
        </w:numPr>
        <w:ind w:firstLine="450"/>
      </w:pPr>
      <w:r>
        <w:t>370</w:t>
      </w:r>
      <w:r w:rsidRPr="00843E61">
        <w:t xml:space="preserve"> sq.ft. per employee for commercial/population-related; and</w:t>
      </w:r>
    </w:p>
    <w:p w14:paraId="5373873D" w14:textId="77777777" w:rsidR="001658FE" w:rsidRPr="00843E61" w:rsidRDefault="001658FE" w:rsidP="001658FE">
      <w:pPr>
        <w:pStyle w:val="BodyTextbullets125"/>
        <w:numPr>
          <w:ilvl w:val="1"/>
          <w:numId w:val="1"/>
        </w:numPr>
        <w:ind w:firstLine="450"/>
      </w:pPr>
      <w:r w:rsidRPr="00843E61">
        <w:t>6</w:t>
      </w:r>
      <w:r>
        <w:t>86</w:t>
      </w:r>
      <w:r w:rsidRPr="00843E61">
        <w:t xml:space="preserve"> sq.ft. per employee for institutional employment.</w:t>
      </w:r>
    </w:p>
    <w:p w14:paraId="1217FE70" w14:textId="77777777" w:rsidR="001658FE" w:rsidRPr="00843E61" w:rsidRDefault="001658FE" w:rsidP="001658FE">
      <w:pPr>
        <w:pStyle w:val="BodyTextbullets125"/>
        <w:ind w:left="1440"/>
      </w:pPr>
      <w:r w:rsidRPr="00843E61">
        <w:t xml:space="preserve">The </w:t>
      </w:r>
      <w:r>
        <w:t>City</w:t>
      </w:r>
      <w:r w:rsidRPr="00843E61">
        <w:t xml:space="preserve">-wide incremental G.F.A. is anticipated to increase by </w:t>
      </w:r>
      <w:r>
        <w:t>8.2 million</w:t>
      </w:r>
      <w:r w:rsidRPr="00843E61">
        <w:t xml:space="preserve"> sq.ft. over the 10-year forecast period.</w:t>
      </w:r>
    </w:p>
    <w:p w14:paraId="3D88C8E8" w14:textId="0B11F592" w:rsidR="001658FE" w:rsidRPr="00843E61" w:rsidRDefault="001658FE" w:rsidP="001658FE">
      <w:pPr>
        <w:pStyle w:val="BodyTextbullets125"/>
        <w:ind w:left="1440"/>
      </w:pPr>
      <w:r w:rsidRPr="00843E61">
        <w:t xml:space="preserve">In terms of percentage growth, the </w:t>
      </w:r>
      <w:r w:rsidR="007C2BCA">
        <w:t xml:space="preserve">10-year </w:t>
      </w:r>
      <w:r w:rsidRPr="00843E61">
        <w:t>incremental G.F.A. forecast by sector is broken down as follows:</w:t>
      </w:r>
    </w:p>
    <w:p w14:paraId="43904B4A" w14:textId="77777777" w:rsidR="001658FE" w:rsidRPr="00843E61" w:rsidRDefault="001658FE" w:rsidP="001658FE">
      <w:pPr>
        <w:pStyle w:val="BodyTextbullets125"/>
        <w:numPr>
          <w:ilvl w:val="1"/>
          <w:numId w:val="1"/>
        </w:numPr>
        <w:ind w:firstLine="450"/>
      </w:pPr>
      <w:r w:rsidRPr="00843E61">
        <w:t xml:space="preserve">industrial – </w:t>
      </w:r>
      <w:r>
        <w:t>66</w:t>
      </w:r>
      <w:r w:rsidRPr="00843E61">
        <w:t>%;</w:t>
      </w:r>
    </w:p>
    <w:p w14:paraId="11A53C03" w14:textId="77777777" w:rsidR="001658FE" w:rsidRPr="00843E61" w:rsidRDefault="001658FE" w:rsidP="001658FE">
      <w:pPr>
        <w:pStyle w:val="BodyTextbullets125"/>
        <w:numPr>
          <w:ilvl w:val="1"/>
          <w:numId w:val="1"/>
        </w:numPr>
        <w:ind w:firstLine="450"/>
      </w:pPr>
      <w:r w:rsidRPr="00843E61">
        <w:t xml:space="preserve">commercial/population-related – </w:t>
      </w:r>
      <w:r>
        <w:t>18</w:t>
      </w:r>
      <w:r w:rsidRPr="00843E61">
        <w:t xml:space="preserve">%; and </w:t>
      </w:r>
    </w:p>
    <w:p w14:paraId="0AFC08AC" w14:textId="77777777" w:rsidR="001658FE" w:rsidRPr="00843E61" w:rsidRDefault="001658FE" w:rsidP="001658FE">
      <w:pPr>
        <w:pStyle w:val="BodyTextbullets125"/>
        <w:numPr>
          <w:ilvl w:val="1"/>
          <w:numId w:val="1"/>
        </w:numPr>
        <w:ind w:firstLine="450"/>
      </w:pPr>
      <w:r w:rsidRPr="00843E61">
        <w:t xml:space="preserve">institutional – </w:t>
      </w:r>
      <w:r>
        <w:t>1</w:t>
      </w:r>
      <w:r w:rsidRPr="00843E61">
        <w:t>6%.</w:t>
      </w:r>
    </w:p>
    <w:p w14:paraId="01E57033" w14:textId="77777777" w:rsidR="001658FE" w:rsidRPr="00843E61" w:rsidRDefault="001658FE" w:rsidP="00F43901">
      <w:pPr>
        <w:pStyle w:val="BodyText125"/>
        <w:numPr>
          <w:ilvl w:val="0"/>
          <w:numId w:val="10"/>
        </w:numPr>
        <w:rPr>
          <w:lang w:val="en-US"/>
        </w:rPr>
      </w:pPr>
      <w:r w:rsidRPr="00843E61">
        <w:rPr>
          <w:lang w:val="en-US"/>
        </w:rPr>
        <w:t xml:space="preserve">Geographic Location of Non-Residential Development (Appendix A, Schedule </w:t>
      </w:r>
      <w:r>
        <w:rPr>
          <w:lang w:val="en-US"/>
        </w:rPr>
        <w:t>8</w:t>
      </w:r>
      <w:r w:rsidRPr="00843E61">
        <w:rPr>
          <w:lang w:val="en-US"/>
        </w:rPr>
        <w:t>c)</w:t>
      </w:r>
    </w:p>
    <w:p w14:paraId="5A0E1377" w14:textId="78118784" w:rsidR="001658FE" w:rsidRPr="00843E61" w:rsidRDefault="001658FE" w:rsidP="001658FE">
      <w:pPr>
        <w:pStyle w:val="BodyTextbullets125"/>
        <w:ind w:left="1440"/>
      </w:pPr>
      <w:r w:rsidRPr="00843E61">
        <w:t xml:space="preserve">Schedule </w:t>
      </w:r>
      <w:r w:rsidR="0044401C">
        <w:t>8</w:t>
      </w:r>
      <w:r w:rsidRPr="00843E61">
        <w:t xml:space="preserve">c summarizes the anticipated amount, type and location of non-residential development by servicing area for the </w:t>
      </w:r>
      <w:r>
        <w:t>City of Cambridge</w:t>
      </w:r>
      <w:r w:rsidRPr="00843E61">
        <w:t xml:space="preserve"> by area.</w:t>
      </w:r>
    </w:p>
    <w:p w14:paraId="690DAC40" w14:textId="77777777" w:rsidR="001658FE" w:rsidRDefault="001658FE" w:rsidP="001658FE">
      <w:pPr>
        <w:pStyle w:val="BodyTextbullets125"/>
        <w:ind w:left="1440"/>
      </w:pPr>
      <w:r w:rsidRPr="00843E61">
        <w:t xml:space="preserve">The amount and percentage of forecast total non-residential growth between 2023 and </w:t>
      </w:r>
      <w:r>
        <w:t>2033</w:t>
      </w:r>
      <w:r w:rsidRPr="00843E61">
        <w:t xml:space="preserve"> by development location is summarized below.</w:t>
      </w:r>
    </w:p>
    <w:p w14:paraId="4C95F2EF" w14:textId="77777777" w:rsidR="001658FE" w:rsidRPr="00843E61" w:rsidRDefault="001658FE" w:rsidP="001658FE">
      <w:pPr>
        <w:pStyle w:val="FigureTableTitles"/>
        <w:rPr>
          <w:lang w:val="en-US"/>
        </w:rPr>
      </w:pPr>
      <w:r w:rsidRPr="00843E61">
        <w:rPr>
          <w:lang w:val="en-US"/>
        </w:rPr>
        <w:t>Table 3-3</w:t>
      </w:r>
    </w:p>
    <w:p w14:paraId="2F9592F1" w14:textId="77777777" w:rsidR="001658FE" w:rsidRPr="00843E61" w:rsidRDefault="001658FE" w:rsidP="001658FE">
      <w:pPr>
        <w:pStyle w:val="FigureTableTitles"/>
        <w:rPr>
          <w:lang w:val="en-US"/>
        </w:rPr>
      </w:pPr>
      <w:r>
        <w:rPr>
          <w:lang w:val="en-US"/>
        </w:rPr>
        <w:t>City of Cambridge</w:t>
      </w:r>
    </w:p>
    <w:p w14:paraId="1832F268" w14:textId="77777777" w:rsidR="001658FE" w:rsidRDefault="001658FE" w:rsidP="001658FE">
      <w:pPr>
        <w:pStyle w:val="FigureTableTitles"/>
        <w:rPr>
          <w:lang w:val="en-US"/>
        </w:rPr>
      </w:pPr>
      <w:r w:rsidRPr="00843E61">
        <w:rPr>
          <w:lang w:val="en-US"/>
        </w:rPr>
        <w:t>Geographic Location of Non-Residential Development</w:t>
      </w:r>
    </w:p>
    <w:p w14:paraId="55FC0220" w14:textId="13B3A3EF" w:rsidR="007C2BCA" w:rsidRPr="00843E61" w:rsidRDefault="007C2BCA" w:rsidP="001658FE">
      <w:pPr>
        <w:pStyle w:val="FigureTableTitles"/>
        <w:rPr>
          <w:lang w:val="en-US"/>
        </w:rPr>
      </w:pPr>
      <w:r>
        <w:rPr>
          <w:lang w:val="en-US"/>
        </w:rPr>
        <w:t>10-year Forecast</w:t>
      </w:r>
    </w:p>
    <w:tbl>
      <w:tblPr>
        <w:tblStyle w:val="TableGrid"/>
        <w:tblW w:w="8875" w:type="dxa"/>
        <w:tblLook w:val="04A0" w:firstRow="1" w:lastRow="0" w:firstColumn="1" w:lastColumn="0" w:noHBand="0" w:noVBand="1"/>
      </w:tblPr>
      <w:tblGrid>
        <w:gridCol w:w="4243"/>
        <w:gridCol w:w="2126"/>
        <w:gridCol w:w="2506"/>
      </w:tblGrid>
      <w:tr w:rsidR="001658FE" w:rsidRPr="00843E61" w14:paraId="78624B68" w14:textId="77777777" w:rsidTr="0084196F">
        <w:trPr>
          <w:trHeight w:val="704"/>
        </w:trPr>
        <w:tc>
          <w:tcPr>
            <w:cnfStyle w:val="001000000000" w:firstRow="0" w:lastRow="0" w:firstColumn="1" w:lastColumn="0" w:oddVBand="0" w:evenVBand="0" w:oddHBand="0" w:evenHBand="0" w:firstRowFirstColumn="0" w:firstRowLastColumn="0" w:lastRowFirstColumn="0" w:lastRowLastColumn="0"/>
            <w:tcW w:w="4243" w:type="dxa"/>
            <w:shd w:val="clear" w:color="auto" w:fill="425364" w:themeFill="text1"/>
            <w:vAlign w:val="center"/>
            <w:hideMark/>
          </w:tcPr>
          <w:p w14:paraId="758A44DD" w14:textId="77777777" w:rsidR="001658FE" w:rsidRPr="00843E61" w:rsidRDefault="001658FE" w:rsidP="007C2BCA">
            <w:pPr>
              <w:pStyle w:val="BodyText125"/>
              <w:spacing w:after="0"/>
              <w:jc w:val="center"/>
              <w:rPr>
                <w:b/>
                <w:bCs/>
                <w:color w:val="FFFFFF" w:themeColor="background1"/>
                <w:lang w:val="en-US"/>
              </w:rPr>
            </w:pPr>
            <w:r w:rsidRPr="00843E61">
              <w:rPr>
                <w:b/>
                <w:bCs/>
                <w:color w:val="FFFFFF" w:themeColor="background1"/>
                <w:lang w:val="en-US"/>
              </w:rPr>
              <w:t>Development Location</w:t>
            </w:r>
          </w:p>
        </w:tc>
        <w:tc>
          <w:tcPr>
            <w:tcW w:w="2126" w:type="dxa"/>
            <w:shd w:val="clear" w:color="auto" w:fill="425364" w:themeFill="text1"/>
            <w:vAlign w:val="center"/>
            <w:hideMark/>
          </w:tcPr>
          <w:p w14:paraId="5480BE42" w14:textId="5124AE5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843E61">
              <w:rPr>
                <w:b/>
                <w:bCs/>
                <w:color w:val="FFFFFF" w:themeColor="background1"/>
                <w:lang w:val="en-US"/>
              </w:rPr>
              <w:t>Amount of Non-Residential G.F.A. (sq.ft</w:t>
            </w:r>
            <w:r w:rsidR="007C2BCA">
              <w:rPr>
                <w:b/>
                <w:bCs/>
                <w:color w:val="FFFFFF" w:themeColor="background1"/>
                <w:lang w:val="en-US"/>
              </w:rPr>
              <w:t>.)</w:t>
            </w:r>
          </w:p>
        </w:tc>
        <w:tc>
          <w:tcPr>
            <w:tcW w:w="2506" w:type="dxa"/>
            <w:shd w:val="clear" w:color="auto" w:fill="425364" w:themeFill="text1"/>
            <w:vAlign w:val="center"/>
            <w:hideMark/>
          </w:tcPr>
          <w:p w14:paraId="6A0FBA13" w14:textId="1676D0C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b/>
                <w:bCs/>
                <w:color w:val="FFFFFF" w:themeColor="background1"/>
                <w:lang w:val="en-US"/>
              </w:rPr>
            </w:pPr>
            <w:r w:rsidRPr="00843E61">
              <w:rPr>
                <w:b/>
                <w:bCs/>
                <w:color w:val="FFFFFF" w:themeColor="background1"/>
                <w:lang w:val="en-US"/>
              </w:rPr>
              <w:t>Percentage of Non-Residential G.F.A.</w:t>
            </w:r>
          </w:p>
        </w:tc>
      </w:tr>
      <w:tr w:rsidR="001658FE" w:rsidRPr="00843E61" w14:paraId="752B096A" w14:textId="77777777" w:rsidTr="0084196F">
        <w:trPr>
          <w:trHeight w:val="322"/>
        </w:trPr>
        <w:tc>
          <w:tcPr>
            <w:cnfStyle w:val="001000000000" w:firstRow="0" w:lastRow="0" w:firstColumn="1" w:lastColumn="0" w:oddVBand="0" w:evenVBand="0" w:oddHBand="0" w:evenHBand="0" w:firstRowFirstColumn="0" w:firstRowLastColumn="0" w:lastRowFirstColumn="0" w:lastRowLastColumn="0"/>
            <w:tcW w:w="4243" w:type="dxa"/>
            <w:hideMark/>
          </w:tcPr>
          <w:p w14:paraId="6DF3D32F" w14:textId="77777777" w:rsidR="001658FE" w:rsidRPr="00843E61" w:rsidRDefault="001658FE" w:rsidP="007C2BCA">
            <w:pPr>
              <w:pStyle w:val="BodyText125"/>
              <w:spacing w:after="0"/>
              <w:rPr>
                <w:lang w:val="en-US"/>
              </w:rPr>
            </w:pPr>
            <w:r>
              <w:rPr>
                <w:lang w:val="en-US"/>
              </w:rPr>
              <w:t>Within Urban Boundary</w:t>
            </w:r>
          </w:p>
        </w:tc>
        <w:tc>
          <w:tcPr>
            <w:tcW w:w="2126" w:type="dxa"/>
            <w:vAlign w:val="center"/>
          </w:tcPr>
          <w:p w14:paraId="3DF99C66" w14:textId="7777777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8.2 million</w:t>
            </w:r>
          </w:p>
        </w:tc>
        <w:tc>
          <w:tcPr>
            <w:tcW w:w="2506" w:type="dxa"/>
            <w:vAlign w:val="center"/>
            <w:hideMark/>
          </w:tcPr>
          <w:p w14:paraId="2BF1C54E" w14:textId="7777777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100</w:t>
            </w:r>
            <w:r w:rsidRPr="00843E61">
              <w:rPr>
                <w:lang w:val="en-US"/>
              </w:rPr>
              <w:t>%</w:t>
            </w:r>
          </w:p>
        </w:tc>
      </w:tr>
      <w:tr w:rsidR="001658FE" w:rsidRPr="00843E61" w14:paraId="1FF3A0E1" w14:textId="77777777" w:rsidTr="0084196F">
        <w:trPr>
          <w:trHeight w:val="322"/>
        </w:trPr>
        <w:tc>
          <w:tcPr>
            <w:cnfStyle w:val="001000000000" w:firstRow="0" w:lastRow="0" w:firstColumn="1" w:lastColumn="0" w:oddVBand="0" w:evenVBand="0" w:oddHBand="0" w:evenHBand="0" w:firstRowFirstColumn="0" w:firstRowLastColumn="0" w:lastRowFirstColumn="0" w:lastRowLastColumn="0"/>
            <w:tcW w:w="4243" w:type="dxa"/>
            <w:hideMark/>
          </w:tcPr>
          <w:p w14:paraId="0F151DAC" w14:textId="77777777" w:rsidR="001658FE" w:rsidRPr="00843E61" w:rsidRDefault="001658FE" w:rsidP="007C2BCA">
            <w:pPr>
              <w:pStyle w:val="BodyText125"/>
              <w:spacing w:after="0"/>
              <w:rPr>
                <w:lang w:val="en-US"/>
              </w:rPr>
            </w:pPr>
            <w:r>
              <w:rPr>
                <w:lang w:val="en-US"/>
              </w:rPr>
              <w:t>Outside Urban Boundary</w:t>
            </w:r>
          </w:p>
        </w:tc>
        <w:tc>
          <w:tcPr>
            <w:tcW w:w="2126" w:type="dxa"/>
            <w:vAlign w:val="center"/>
          </w:tcPr>
          <w:p w14:paraId="38201432" w14:textId="7777777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0.0 million</w:t>
            </w:r>
          </w:p>
        </w:tc>
        <w:tc>
          <w:tcPr>
            <w:tcW w:w="2506" w:type="dxa"/>
            <w:vAlign w:val="center"/>
            <w:hideMark/>
          </w:tcPr>
          <w:p w14:paraId="41B38B4B" w14:textId="7777777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w:t>
            </w:r>
            <w:r w:rsidRPr="00843E61">
              <w:rPr>
                <w:lang w:val="en-US"/>
              </w:rPr>
              <w:t>%</w:t>
            </w:r>
          </w:p>
        </w:tc>
      </w:tr>
      <w:tr w:rsidR="001658FE" w:rsidRPr="00843E61" w14:paraId="4FCDD5CB" w14:textId="77777777" w:rsidTr="0084196F">
        <w:trPr>
          <w:trHeight w:val="482"/>
        </w:trPr>
        <w:tc>
          <w:tcPr>
            <w:cnfStyle w:val="001000000000" w:firstRow="0" w:lastRow="0" w:firstColumn="1" w:lastColumn="0" w:oddVBand="0" w:evenVBand="0" w:oddHBand="0" w:evenHBand="0" w:firstRowFirstColumn="0" w:firstRowLastColumn="0" w:lastRowFirstColumn="0" w:lastRowLastColumn="0"/>
            <w:tcW w:w="4243" w:type="dxa"/>
            <w:shd w:val="clear" w:color="auto" w:fill="D5DCE3" w:themeFill="text1" w:themeFillTint="33"/>
            <w:hideMark/>
          </w:tcPr>
          <w:p w14:paraId="606F890A" w14:textId="77777777" w:rsidR="001658FE" w:rsidRPr="00843E61" w:rsidRDefault="001658FE" w:rsidP="007C2BCA">
            <w:pPr>
              <w:pStyle w:val="BodyText125"/>
              <w:spacing w:after="0"/>
              <w:rPr>
                <w:b/>
                <w:bCs/>
                <w:lang w:val="en-US"/>
              </w:rPr>
            </w:pPr>
            <w:r>
              <w:rPr>
                <w:b/>
                <w:bCs/>
                <w:iCs/>
                <w:lang w:val="en-US"/>
              </w:rPr>
              <w:t>City of Cambridge</w:t>
            </w:r>
          </w:p>
        </w:tc>
        <w:tc>
          <w:tcPr>
            <w:tcW w:w="2126" w:type="dxa"/>
            <w:shd w:val="clear" w:color="auto" w:fill="D5DCE3" w:themeFill="text1" w:themeFillTint="33"/>
            <w:vAlign w:val="center"/>
          </w:tcPr>
          <w:p w14:paraId="31E93267" w14:textId="7777777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b/>
                <w:bCs/>
                <w:lang w:val="en-US"/>
              </w:rPr>
            </w:pPr>
            <w:r>
              <w:rPr>
                <w:b/>
                <w:bCs/>
                <w:lang w:val="en-US"/>
              </w:rPr>
              <w:t>8.2 million</w:t>
            </w:r>
          </w:p>
        </w:tc>
        <w:tc>
          <w:tcPr>
            <w:tcW w:w="2506" w:type="dxa"/>
            <w:shd w:val="clear" w:color="auto" w:fill="D5DCE3" w:themeFill="text1" w:themeFillTint="33"/>
            <w:vAlign w:val="center"/>
            <w:hideMark/>
          </w:tcPr>
          <w:p w14:paraId="5A3F773A" w14:textId="77777777" w:rsidR="001658FE" w:rsidRPr="00843E61" w:rsidRDefault="001658FE" w:rsidP="007C2BCA">
            <w:pPr>
              <w:pStyle w:val="BodyText125"/>
              <w:spacing w:after="0"/>
              <w:jc w:val="center"/>
              <w:cnfStyle w:val="000000000000" w:firstRow="0" w:lastRow="0" w:firstColumn="0" w:lastColumn="0" w:oddVBand="0" w:evenVBand="0" w:oddHBand="0" w:evenHBand="0" w:firstRowFirstColumn="0" w:firstRowLastColumn="0" w:lastRowFirstColumn="0" w:lastRowLastColumn="0"/>
              <w:rPr>
                <w:b/>
                <w:bCs/>
                <w:lang w:val="en-US"/>
              </w:rPr>
            </w:pPr>
            <w:r w:rsidRPr="00843E61">
              <w:rPr>
                <w:b/>
                <w:bCs/>
                <w:iCs/>
                <w:lang w:val="en-US"/>
              </w:rPr>
              <w:t>100%</w:t>
            </w:r>
          </w:p>
        </w:tc>
      </w:tr>
    </w:tbl>
    <w:p w14:paraId="55F0A4D9" w14:textId="487B4266" w:rsidR="001D22C0" w:rsidRPr="00A63696" w:rsidRDefault="001658FE" w:rsidP="001658FE">
      <w:pPr>
        <w:pStyle w:val="BodyText125"/>
      </w:pPr>
      <w:r w:rsidRPr="00843E61">
        <w:rPr>
          <w:lang w:val="en-US"/>
        </w:rPr>
        <w:t>Note:  Figures may not sum precisely due to rounding</w:t>
      </w:r>
    </w:p>
    <w:p w14:paraId="0BF108C7" w14:textId="77777777" w:rsidR="001350F1" w:rsidRDefault="001350F1" w:rsidP="00E422F8">
      <w:pPr>
        <w:pStyle w:val="BodyTextss"/>
        <w:rPr>
          <w:noProof/>
        </w:rPr>
        <w:sectPr w:rsidR="001350F1" w:rsidSect="00F91552">
          <w:headerReference w:type="default" r:id="rId50"/>
          <w:footnotePr>
            <w:numRestart w:val="eachPage"/>
          </w:footnotePr>
          <w:pgSz w:w="12240" w:h="15840"/>
          <w:pgMar w:top="1814" w:right="1440" w:bottom="1701" w:left="1440" w:header="567" w:footer="624" w:gutter="0"/>
          <w:pgNumType w:chapStyle="1"/>
          <w:cols w:space="708"/>
          <w:titlePg/>
          <w:docGrid w:linePitch="360"/>
        </w:sectPr>
      </w:pPr>
    </w:p>
    <w:p w14:paraId="38EA7C01" w14:textId="77777777" w:rsidR="00E422F8" w:rsidRPr="00174968" w:rsidRDefault="001350F1" w:rsidP="006A7162">
      <w:pPr>
        <w:pStyle w:val="ChapterDividers"/>
        <w:sectPr w:rsidR="00E422F8" w:rsidRPr="00174968" w:rsidSect="00F91552">
          <w:footerReference w:type="default" r:id="rId51"/>
          <w:footerReference w:type="first" r:id="rId52"/>
          <w:footnotePr>
            <w:numRestart w:val="eachPage"/>
          </w:footnotePr>
          <w:pgSz w:w="12240" w:h="15840" w:code="1"/>
          <w:pgMar w:top="1440" w:right="1440" w:bottom="1440" w:left="1440" w:header="432" w:footer="619" w:gutter="0"/>
          <w:pgNumType w:chapStyle="1"/>
          <w:cols w:space="708"/>
          <w:titlePg/>
          <w:docGrid w:linePitch="360"/>
        </w:sectPr>
      </w:pPr>
      <w:bookmarkStart w:id="126" w:name="_Toc520822911"/>
      <w:bookmarkStart w:id="127" w:name="_Toc520910956"/>
      <w:bookmarkStart w:id="128" w:name="_Toc520911337"/>
      <w:r>
        <w:t>Chapter 4</w:t>
      </w:r>
      <w:r w:rsidR="00620725">
        <w:t xml:space="preserve"> </w:t>
      </w:r>
      <w:r w:rsidR="00620725">
        <w:br/>
      </w:r>
      <w:r w:rsidRPr="00DC5440">
        <w:rPr>
          <w:rStyle w:val="ChapterDividersTitleChar"/>
          <w:color w:val="000000"/>
        </w:rPr>
        <w:t>The Approach to the Calculation of the Charge</w:t>
      </w:r>
      <w:bookmarkEnd w:id="126"/>
      <w:bookmarkEnd w:id="127"/>
      <w:bookmarkEnd w:id="128"/>
    </w:p>
    <w:p w14:paraId="16A417AB" w14:textId="77777777" w:rsidR="009648EF" w:rsidRPr="00174968" w:rsidRDefault="009648EF" w:rsidP="00F5670B">
      <w:pPr>
        <w:pStyle w:val="Heading1"/>
        <w:rPr>
          <w:noProof/>
        </w:rPr>
      </w:pPr>
      <w:bookmarkStart w:id="129" w:name="_Toc520822912"/>
      <w:bookmarkStart w:id="130" w:name="_Toc520910957"/>
      <w:bookmarkStart w:id="131" w:name="_Toc520911338"/>
      <w:bookmarkStart w:id="132" w:name="_Toc154068757"/>
      <w:r w:rsidRPr="00174968">
        <w:rPr>
          <w:noProof/>
        </w:rPr>
        <w:t>T</w:t>
      </w:r>
      <w:r w:rsidR="00551A91">
        <w:rPr>
          <w:noProof/>
        </w:rPr>
        <w:t>he Approach to the Calculation of the Charge</w:t>
      </w:r>
      <w:bookmarkEnd w:id="113"/>
      <w:bookmarkEnd w:id="129"/>
      <w:bookmarkEnd w:id="130"/>
      <w:bookmarkEnd w:id="131"/>
      <w:bookmarkEnd w:id="132"/>
    </w:p>
    <w:p w14:paraId="302CC4C7" w14:textId="77777777" w:rsidR="00B91466" w:rsidRPr="0092537B" w:rsidRDefault="00B91466" w:rsidP="00B16524">
      <w:pPr>
        <w:pStyle w:val="Heading2"/>
        <w:numPr>
          <w:ilvl w:val="1"/>
          <w:numId w:val="3"/>
        </w:numPr>
      </w:pPr>
      <w:bookmarkStart w:id="133" w:name="_Toc520300717"/>
      <w:bookmarkStart w:id="134" w:name="_Toc520822913"/>
      <w:bookmarkStart w:id="135" w:name="_Toc520910958"/>
      <w:bookmarkStart w:id="136" w:name="_Toc520911339"/>
      <w:bookmarkStart w:id="137" w:name="_Toc154068758"/>
      <w:r>
        <w:t>Introduction</w:t>
      </w:r>
      <w:bookmarkEnd w:id="133"/>
      <w:bookmarkEnd w:id="134"/>
      <w:bookmarkEnd w:id="135"/>
      <w:bookmarkEnd w:id="136"/>
      <w:bookmarkEnd w:id="137"/>
    </w:p>
    <w:p w14:paraId="4085CEF9" w14:textId="77777777" w:rsidR="00B91466" w:rsidRPr="00982558" w:rsidRDefault="00B91466" w:rsidP="00B91466">
      <w:pPr>
        <w:pStyle w:val="BodyText125"/>
      </w:pPr>
      <w:r w:rsidRPr="00982558">
        <w:t xml:space="preserve">This chapter addresses the requirements of </w:t>
      </w:r>
      <w:r w:rsidR="0083059C">
        <w:t xml:space="preserve">subsection </w:t>
      </w:r>
      <w:r w:rsidRPr="00982558">
        <w:t>5</w:t>
      </w:r>
      <w:r w:rsidR="007A480A">
        <w:t xml:space="preserve"> </w:t>
      </w:r>
      <w:r w:rsidRPr="00982558">
        <w:t xml:space="preserve">(1) of the </w:t>
      </w:r>
      <w:r>
        <w:t>D.C.A.</w:t>
      </w:r>
      <w:r w:rsidRPr="00982558">
        <w:t xml:space="preserve"> with respect to the establishment of the need for service which underpins the </w:t>
      </w:r>
      <w:r>
        <w:t>D.C.</w:t>
      </w:r>
      <w:r w:rsidRPr="00982558">
        <w:t xml:space="preserve"> calculation.  These requirements are illustrated schematically in Figure 4-1.</w:t>
      </w:r>
    </w:p>
    <w:p w14:paraId="686207A3" w14:textId="77777777" w:rsidR="00B91466" w:rsidRPr="00982558" w:rsidRDefault="00B91466" w:rsidP="00B16524">
      <w:pPr>
        <w:pStyle w:val="Heading2"/>
        <w:numPr>
          <w:ilvl w:val="1"/>
          <w:numId w:val="3"/>
        </w:numPr>
        <w:rPr>
          <w:szCs w:val="23"/>
        </w:rPr>
      </w:pPr>
      <w:bookmarkStart w:id="138" w:name="_Toc494292982"/>
      <w:bookmarkStart w:id="139" w:name="_Toc520300718"/>
      <w:bookmarkStart w:id="140" w:name="_Toc520822914"/>
      <w:bookmarkStart w:id="141" w:name="_Toc520910959"/>
      <w:bookmarkStart w:id="142" w:name="_Toc520911340"/>
      <w:bookmarkStart w:id="143" w:name="_Toc154068759"/>
      <w:r w:rsidRPr="00982558">
        <w:t>Services Potentially Involved</w:t>
      </w:r>
      <w:bookmarkEnd w:id="138"/>
      <w:bookmarkEnd w:id="139"/>
      <w:bookmarkEnd w:id="140"/>
      <w:bookmarkEnd w:id="141"/>
      <w:bookmarkEnd w:id="142"/>
      <w:bookmarkEnd w:id="143"/>
    </w:p>
    <w:p w14:paraId="13CBE89C" w14:textId="3B30F6CB" w:rsidR="00B91466" w:rsidRPr="00982558" w:rsidRDefault="00B91466" w:rsidP="00B91466">
      <w:pPr>
        <w:pStyle w:val="BodyText125"/>
      </w:pPr>
      <w:r w:rsidRPr="00982558">
        <w:t xml:space="preserve">Table 4-1 lists the full range of </w:t>
      </w:r>
      <w:r w:rsidRPr="00C76B68">
        <w:t>municipal service</w:t>
      </w:r>
      <w:r w:rsidR="003762F7" w:rsidRPr="00C76B68">
        <w:t>s that</w:t>
      </w:r>
      <w:r w:rsidRPr="00C76B68">
        <w:t xml:space="preserve"> are provided within the </w:t>
      </w:r>
      <w:r w:rsidR="00A1355F" w:rsidRPr="00C76B68">
        <w:t>City</w:t>
      </w:r>
      <w:r w:rsidRPr="00C76B68">
        <w:t>.</w:t>
      </w:r>
    </w:p>
    <w:p w14:paraId="10A76DD5" w14:textId="69133E34" w:rsidR="00B91466" w:rsidRPr="00C76B68" w:rsidRDefault="00C76B68" w:rsidP="00B91466">
      <w:pPr>
        <w:pStyle w:val="BodyText125"/>
      </w:pPr>
      <w:r w:rsidRPr="00C76B68">
        <w:t xml:space="preserve">A number of these services are not included in the list of eligible services provided in subsection 2 (4) of the D.C.A. These are shown as “ineligible” on Table 4-1.  Two ineligible costs defined in subsection 5 (3) of the D.C.A. are “computer equipment” and “rolling stock with an estimated useful life of (less than) seven years.”  In addition, local roads are covered separately under subdivision agreements and related means (as are other local services).  Services that are potentially eligible for inclusion in the </w:t>
      </w:r>
      <w:r>
        <w:t>City</w:t>
      </w:r>
      <w:r w:rsidRPr="00C76B68">
        <w:t>’s D.C. are indicated with a “Yes.”</w:t>
      </w:r>
      <w:r w:rsidR="00B91466" w:rsidRPr="00C76B68">
        <w:t xml:space="preserve">  </w:t>
      </w:r>
    </w:p>
    <w:p w14:paraId="022D50F6" w14:textId="77777777" w:rsidR="00B91466" w:rsidRPr="00C76B68" w:rsidRDefault="00B91466" w:rsidP="00B16524">
      <w:pPr>
        <w:pStyle w:val="Heading2"/>
        <w:numPr>
          <w:ilvl w:val="1"/>
          <w:numId w:val="3"/>
        </w:numPr>
        <w:rPr>
          <w:szCs w:val="23"/>
        </w:rPr>
      </w:pPr>
      <w:bookmarkStart w:id="144" w:name="_Toc494292983"/>
      <w:bookmarkStart w:id="145" w:name="_Toc520300719"/>
      <w:bookmarkStart w:id="146" w:name="_Toc520822915"/>
      <w:bookmarkStart w:id="147" w:name="_Toc520910960"/>
      <w:bookmarkStart w:id="148" w:name="_Toc520911341"/>
      <w:bookmarkStart w:id="149" w:name="_Toc154068760"/>
      <w:r w:rsidRPr="00C76B68">
        <w:t>Increase in the Need for Service</w:t>
      </w:r>
      <w:bookmarkEnd w:id="144"/>
      <w:bookmarkEnd w:id="145"/>
      <w:bookmarkEnd w:id="146"/>
      <w:bookmarkEnd w:id="147"/>
      <w:bookmarkEnd w:id="148"/>
      <w:bookmarkEnd w:id="149"/>
    </w:p>
    <w:p w14:paraId="1F8792E9" w14:textId="7F0A0A3B" w:rsidR="00B91466" w:rsidRPr="00982558" w:rsidRDefault="00B91466" w:rsidP="00B91466">
      <w:pPr>
        <w:pStyle w:val="BodyText125"/>
      </w:pPr>
      <w:r w:rsidRPr="00C76B68">
        <w:t xml:space="preserve">The D.C. calculation commences with an estimate of “the increase in the need for service attributable to the anticipated development,” for each service to be covered by the by-law.  There must be some form of link or attribution between the anticipated development and the estimated increase in the need for service.  While the need could conceivably be expressed generally in terms of units of capacity, </w:t>
      </w:r>
      <w:r w:rsidR="0083059C" w:rsidRPr="00C76B68">
        <w:t xml:space="preserve">subsection </w:t>
      </w:r>
      <w:r w:rsidRPr="00C76B68">
        <w:t>5</w:t>
      </w:r>
      <w:r w:rsidR="007A1C44" w:rsidRPr="00C76B68">
        <w:t xml:space="preserve"> </w:t>
      </w:r>
      <w:r w:rsidRPr="00C76B68">
        <w:t>(1)</w:t>
      </w:r>
      <w:r w:rsidR="007A1C44" w:rsidRPr="00C76B68">
        <w:t xml:space="preserve"> </w:t>
      </w:r>
      <w:r w:rsidRPr="00C76B68">
        <w:t xml:space="preserve">3, which requires that </w:t>
      </w:r>
      <w:r w:rsidR="00A1355F" w:rsidRPr="00C76B68">
        <w:t>City</w:t>
      </w:r>
      <w:r w:rsidRPr="00C76B68">
        <w:t xml:space="preserve"> Council indicate that it intends to ensure that such an increase in need will be met, suggests that a project-specific expression of need would be most appropriate.</w:t>
      </w:r>
    </w:p>
    <w:p w14:paraId="2F1BA833" w14:textId="77777777" w:rsidR="00B91466" w:rsidRPr="00982558" w:rsidRDefault="00B91466" w:rsidP="00B91466">
      <w:pPr>
        <w:pStyle w:val="FigureTableTitles"/>
      </w:pPr>
      <w:r w:rsidRPr="00982558">
        <w:t>Figure 4-1</w:t>
      </w:r>
    </w:p>
    <w:p w14:paraId="531075CE" w14:textId="77777777" w:rsidR="00B91466" w:rsidRDefault="00B91466" w:rsidP="00B91466">
      <w:pPr>
        <w:pStyle w:val="FigureTableTitles"/>
      </w:pPr>
      <w:r w:rsidRPr="00982558">
        <w:t xml:space="preserve">The Process of Calculating a </w:t>
      </w:r>
      <w:r>
        <w:t>Development Charge</w:t>
      </w:r>
      <w:r w:rsidRPr="00982558">
        <w:t xml:space="preserve"> under the </w:t>
      </w:r>
      <w:r>
        <w:t>Act</w:t>
      </w:r>
    </w:p>
    <w:p w14:paraId="39845267" w14:textId="77777777" w:rsidR="00B91466" w:rsidRPr="00982558" w:rsidRDefault="00B91466" w:rsidP="00B91466">
      <w:pPr>
        <w:pStyle w:val="FigureTableTitles"/>
      </w:pPr>
      <w:r>
        <w:rPr>
          <w:u w:val="single"/>
        </w:rPr>
        <w:t>that must be followed</w:t>
      </w:r>
    </w:p>
    <w:p w14:paraId="245A08D8" w14:textId="6F394A1D" w:rsidR="00B91466" w:rsidRDefault="00EF766C" w:rsidP="00EF766C">
      <w:pPr>
        <w:pStyle w:val="BodyText"/>
        <w:jc w:val="center"/>
      </w:pPr>
      <w:r w:rsidRPr="008D2AE7">
        <w:rPr>
          <w:noProof/>
        </w:rPr>
        <w:drawing>
          <wp:inline distT="0" distB="0" distL="0" distR="0" wp14:anchorId="03DD386B" wp14:editId="0C9EBD5F">
            <wp:extent cx="5943600" cy="6544945"/>
            <wp:effectExtent l="0" t="0" r="0" b="8255"/>
            <wp:docPr id="11" name="Picture 11" descr="Figure 4-1&#10;Process of Calculating a Development Charge under th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4-1&#10;Process of Calculating a Development Charge under the A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6544945"/>
                    </a:xfrm>
                    <a:prstGeom prst="rect">
                      <a:avLst/>
                    </a:prstGeom>
                    <a:noFill/>
                    <a:ln>
                      <a:noFill/>
                    </a:ln>
                  </pic:spPr>
                </pic:pic>
              </a:graphicData>
            </a:graphic>
          </wp:inline>
        </w:drawing>
      </w:r>
    </w:p>
    <w:p w14:paraId="2D120EA0" w14:textId="77777777" w:rsidR="00B91466" w:rsidRDefault="00B91466" w:rsidP="00B91466">
      <w:pPr>
        <w:pStyle w:val="FigureTableTitles"/>
      </w:pPr>
      <w:r>
        <w:t>Table 4-1</w:t>
      </w:r>
    </w:p>
    <w:p w14:paraId="28C7E6E5" w14:textId="77777777" w:rsidR="00CF5FA9" w:rsidRDefault="00B91466" w:rsidP="00CF5FA9">
      <w:pPr>
        <w:pStyle w:val="FigureTableTitles"/>
      </w:pPr>
      <w:r>
        <w:t>Categories of Municipal Services to be Addressed as Part of the Calculation</w:t>
      </w:r>
    </w:p>
    <w:tbl>
      <w:tblPr>
        <w:tblStyle w:val="TableGrid"/>
        <w:tblW w:w="0" w:type="auto"/>
        <w:tblInd w:w="265" w:type="dxa"/>
        <w:tblLook w:val="04A0" w:firstRow="1" w:lastRow="0" w:firstColumn="1" w:lastColumn="0" w:noHBand="0" w:noVBand="1"/>
      </w:tblPr>
      <w:tblGrid>
        <w:gridCol w:w="2160"/>
        <w:gridCol w:w="6660"/>
      </w:tblGrid>
      <w:tr w:rsidR="00CF5FA9" w:rsidRPr="003E68F5" w14:paraId="3439ED1D" w14:textId="77777777" w:rsidTr="00663815">
        <w:tc>
          <w:tcPr>
            <w:cnfStyle w:val="001000000000" w:firstRow="0" w:lastRow="0" w:firstColumn="1" w:lastColumn="0" w:oddVBand="0" w:evenVBand="0" w:oddHBand="0" w:evenHBand="0" w:firstRowFirstColumn="0" w:firstRowLastColumn="0" w:lastRowFirstColumn="0" w:lastRowLastColumn="0"/>
            <w:tcW w:w="2160" w:type="dxa"/>
            <w:shd w:val="clear" w:color="auto" w:fill="425364"/>
            <w:vAlign w:val="center"/>
          </w:tcPr>
          <w:p w14:paraId="17F19FB5" w14:textId="77777777" w:rsidR="00CF5FA9" w:rsidRPr="003E68F5" w:rsidRDefault="00CF5FA9" w:rsidP="00663815">
            <w:pPr>
              <w:pStyle w:val="BodyTextss"/>
              <w:spacing w:after="0"/>
              <w:jc w:val="center"/>
              <w:rPr>
                <w:b/>
                <w:color w:val="FFFFFF" w:themeColor="background1"/>
              </w:rPr>
            </w:pPr>
            <w:r w:rsidRPr="003E68F5">
              <w:rPr>
                <w:b/>
                <w:color w:val="FFFFFF" w:themeColor="background1"/>
              </w:rPr>
              <w:t>Eligibility for Inclusion in the D.C. Calculation</w:t>
            </w:r>
          </w:p>
        </w:tc>
        <w:tc>
          <w:tcPr>
            <w:tcW w:w="6660" w:type="dxa"/>
            <w:shd w:val="clear" w:color="auto" w:fill="425364"/>
            <w:vAlign w:val="center"/>
          </w:tcPr>
          <w:p w14:paraId="2B88A54B" w14:textId="77777777" w:rsidR="00CF5FA9" w:rsidRPr="003E68F5" w:rsidRDefault="00CF5FA9" w:rsidP="00663815">
            <w:pPr>
              <w:pStyle w:val="BodyTextss"/>
              <w:spacing w:after="0"/>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3E68F5">
              <w:rPr>
                <w:b/>
                <w:color w:val="FFFFFF" w:themeColor="background1"/>
              </w:rPr>
              <w:t>Description</w:t>
            </w:r>
          </w:p>
        </w:tc>
      </w:tr>
      <w:tr w:rsidR="00CF5FA9" w14:paraId="4071CB09" w14:textId="77777777" w:rsidTr="00663815">
        <w:tc>
          <w:tcPr>
            <w:cnfStyle w:val="001000000000" w:firstRow="0" w:lastRow="0" w:firstColumn="1" w:lastColumn="0" w:oddVBand="0" w:evenVBand="0" w:oddHBand="0" w:evenHBand="0" w:firstRowFirstColumn="0" w:firstRowLastColumn="0" w:lastRowFirstColumn="0" w:lastRowLastColumn="0"/>
            <w:tcW w:w="2160" w:type="dxa"/>
            <w:vAlign w:val="center"/>
          </w:tcPr>
          <w:p w14:paraId="2D4A3439" w14:textId="77777777" w:rsidR="00CF5FA9" w:rsidRDefault="00CF5FA9" w:rsidP="00663815">
            <w:pPr>
              <w:pStyle w:val="BodyTextss"/>
              <w:spacing w:after="0"/>
              <w:jc w:val="center"/>
            </w:pPr>
            <w:r>
              <w:t>Yes</w:t>
            </w:r>
          </w:p>
        </w:tc>
        <w:tc>
          <w:tcPr>
            <w:tcW w:w="6660" w:type="dxa"/>
            <w:vAlign w:val="center"/>
          </w:tcPr>
          <w:p w14:paraId="12C23B83" w14:textId="77777777" w:rsidR="00CF5FA9" w:rsidRDefault="00CF5FA9" w:rsidP="00663815">
            <w:pPr>
              <w:pStyle w:val="BodyTextss"/>
              <w:spacing w:after="0"/>
              <w:cnfStyle w:val="000000000000" w:firstRow="0" w:lastRow="0" w:firstColumn="0" w:lastColumn="0" w:oddVBand="0" w:evenVBand="0" w:oddHBand="0" w:evenHBand="0" w:firstRowFirstColumn="0" w:firstRowLastColumn="0" w:lastRowFirstColumn="0" w:lastRowLastColumn="0"/>
            </w:pPr>
            <w:r>
              <w:t>Municipality provides the service – service has been included in the D.C. calculation.</w:t>
            </w:r>
          </w:p>
        </w:tc>
      </w:tr>
      <w:tr w:rsidR="00CF5FA9" w14:paraId="124F7ACB" w14:textId="77777777" w:rsidTr="00663815">
        <w:tc>
          <w:tcPr>
            <w:cnfStyle w:val="001000000000" w:firstRow="0" w:lastRow="0" w:firstColumn="1" w:lastColumn="0" w:oddVBand="0" w:evenVBand="0" w:oddHBand="0" w:evenHBand="0" w:firstRowFirstColumn="0" w:firstRowLastColumn="0" w:lastRowFirstColumn="0" w:lastRowLastColumn="0"/>
            <w:tcW w:w="2160" w:type="dxa"/>
            <w:vAlign w:val="center"/>
          </w:tcPr>
          <w:p w14:paraId="6886E5D1" w14:textId="77777777" w:rsidR="00CF5FA9" w:rsidRDefault="00CF5FA9" w:rsidP="00663815">
            <w:pPr>
              <w:pStyle w:val="BodyTextss"/>
              <w:spacing w:after="0"/>
              <w:jc w:val="center"/>
            </w:pPr>
            <w:r>
              <w:t>No</w:t>
            </w:r>
          </w:p>
        </w:tc>
        <w:tc>
          <w:tcPr>
            <w:tcW w:w="6660" w:type="dxa"/>
            <w:vAlign w:val="center"/>
          </w:tcPr>
          <w:p w14:paraId="1A2B830E" w14:textId="77777777" w:rsidR="00CF5FA9" w:rsidRDefault="00CF5FA9" w:rsidP="00663815">
            <w:pPr>
              <w:pStyle w:val="BodyTextss"/>
              <w:spacing w:after="0"/>
              <w:cnfStyle w:val="000000000000" w:firstRow="0" w:lastRow="0" w:firstColumn="0" w:lastColumn="0" w:oddVBand="0" w:evenVBand="0" w:oddHBand="0" w:evenHBand="0" w:firstRowFirstColumn="0" w:firstRowLastColumn="0" w:lastRowFirstColumn="0" w:lastRowLastColumn="0"/>
            </w:pPr>
            <w:r>
              <w:t>Municipality provides the service – service has not been included in the D.C. calculation.</w:t>
            </w:r>
          </w:p>
        </w:tc>
      </w:tr>
      <w:tr w:rsidR="00CF5FA9" w14:paraId="059BCC46" w14:textId="77777777" w:rsidTr="00663815">
        <w:tc>
          <w:tcPr>
            <w:cnfStyle w:val="001000000000" w:firstRow="0" w:lastRow="0" w:firstColumn="1" w:lastColumn="0" w:oddVBand="0" w:evenVBand="0" w:oddHBand="0" w:evenHBand="0" w:firstRowFirstColumn="0" w:firstRowLastColumn="0" w:lastRowFirstColumn="0" w:lastRowLastColumn="0"/>
            <w:tcW w:w="2160" w:type="dxa"/>
            <w:vAlign w:val="center"/>
          </w:tcPr>
          <w:p w14:paraId="0E2674E6" w14:textId="77777777" w:rsidR="00CF5FA9" w:rsidRDefault="00CF5FA9" w:rsidP="00663815">
            <w:pPr>
              <w:pStyle w:val="BodyTextss"/>
              <w:spacing w:after="0"/>
              <w:jc w:val="center"/>
            </w:pPr>
            <w:r>
              <w:t>n/a</w:t>
            </w:r>
          </w:p>
        </w:tc>
        <w:tc>
          <w:tcPr>
            <w:tcW w:w="6660" w:type="dxa"/>
            <w:vAlign w:val="center"/>
          </w:tcPr>
          <w:p w14:paraId="745F430A" w14:textId="77777777" w:rsidR="00CF5FA9" w:rsidRDefault="00CF5FA9" w:rsidP="00663815">
            <w:pPr>
              <w:pStyle w:val="BodyTextss"/>
              <w:spacing w:after="0"/>
              <w:cnfStyle w:val="000000000000" w:firstRow="0" w:lastRow="0" w:firstColumn="0" w:lastColumn="0" w:oddVBand="0" w:evenVBand="0" w:oddHBand="0" w:evenHBand="0" w:firstRowFirstColumn="0" w:firstRowLastColumn="0" w:lastRowFirstColumn="0" w:lastRowLastColumn="0"/>
            </w:pPr>
            <w:r>
              <w:t>Municipality does not provide the service.</w:t>
            </w:r>
          </w:p>
        </w:tc>
      </w:tr>
      <w:tr w:rsidR="00CF5FA9" w14:paraId="57F644F8" w14:textId="77777777" w:rsidTr="00663815">
        <w:tc>
          <w:tcPr>
            <w:cnfStyle w:val="001000000000" w:firstRow="0" w:lastRow="0" w:firstColumn="1" w:lastColumn="0" w:oddVBand="0" w:evenVBand="0" w:oddHBand="0" w:evenHBand="0" w:firstRowFirstColumn="0" w:firstRowLastColumn="0" w:lastRowFirstColumn="0" w:lastRowLastColumn="0"/>
            <w:tcW w:w="2160" w:type="dxa"/>
            <w:vAlign w:val="center"/>
          </w:tcPr>
          <w:p w14:paraId="44F853CD" w14:textId="77777777" w:rsidR="00CF5FA9" w:rsidRDefault="00CF5FA9" w:rsidP="00663815">
            <w:pPr>
              <w:pStyle w:val="BodyTextss"/>
              <w:spacing w:after="0"/>
              <w:jc w:val="center"/>
            </w:pPr>
            <w:r>
              <w:t>Ineligible</w:t>
            </w:r>
          </w:p>
        </w:tc>
        <w:tc>
          <w:tcPr>
            <w:tcW w:w="6660" w:type="dxa"/>
            <w:vAlign w:val="center"/>
          </w:tcPr>
          <w:p w14:paraId="05B3A60F" w14:textId="77777777" w:rsidR="00CF5FA9" w:rsidRDefault="00CF5FA9" w:rsidP="00663815">
            <w:pPr>
              <w:pStyle w:val="BodyTextss"/>
              <w:spacing w:after="0"/>
              <w:cnfStyle w:val="000000000000" w:firstRow="0" w:lastRow="0" w:firstColumn="0" w:lastColumn="0" w:oddVBand="0" w:evenVBand="0" w:oddHBand="0" w:evenHBand="0" w:firstRowFirstColumn="0" w:firstRowLastColumn="0" w:lastRowFirstColumn="0" w:lastRowLastColumn="0"/>
            </w:pPr>
            <w:r>
              <w:t>Service is ineligible for inclusion in the D.C. calculation.</w:t>
            </w:r>
          </w:p>
        </w:tc>
      </w:tr>
    </w:tbl>
    <w:p w14:paraId="1DC0CECA" w14:textId="77777777" w:rsidR="00CF5FA9" w:rsidRDefault="00CF5FA9" w:rsidP="00B91466">
      <w:pPr>
        <w:pStyle w:val="FigureTableTitles"/>
      </w:pPr>
    </w:p>
    <w:tbl>
      <w:tblPr>
        <w:tblStyle w:val="TableGrid"/>
        <w:tblW w:w="0" w:type="auto"/>
        <w:tblLook w:val="04A0" w:firstRow="1" w:lastRow="0" w:firstColumn="1" w:lastColumn="0" w:noHBand="0" w:noVBand="1"/>
      </w:tblPr>
      <w:tblGrid>
        <w:gridCol w:w="2398"/>
        <w:gridCol w:w="1510"/>
        <w:gridCol w:w="3939"/>
        <w:gridCol w:w="1503"/>
      </w:tblGrid>
      <w:tr w:rsidR="00C554EF" w:rsidRPr="00C554EF" w14:paraId="4FFB1DB2" w14:textId="77777777" w:rsidTr="00CF5FA9">
        <w:trPr>
          <w:tblHeader/>
        </w:trPr>
        <w:tc>
          <w:tcPr>
            <w:cnfStyle w:val="001000000000" w:firstRow="0" w:lastRow="0" w:firstColumn="1" w:lastColumn="0" w:oddVBand="0" w:evenVBand="0" w:oddHBand="0" w:evenHBand="0" w:firstRowFirstColumn="0" w:firstRowLastColumn="0" w:lastRowFirstColumn="0" w:lastRowLastColumn="0"/>
            <w:tcW w:w="2398" w:type="dxa"/>
            <w:shd w:val="clear" w:color="auto" w:fill="425364"/>
            <w:vAlign w:val="center"/>
          </w:tcPr>
          <w:p w14:paraId="08C9D60E" w14:textId="77777777" w:rsidR="009163A2" w:rsidRPr="00C554EF" w:rsidRDefault="009163A2" w:rsidP="009163A2">
            <w:pPr>
              <w:pStyle w:val="BodyTextss"/>
              <w:spacing w:after="0"/>
              <w:jc w:val="center"/>
              <w:rPr>
                <w:b/>
                <w:color w:val="FFFFFF" w:themeColor="background1"/>
              </w:rPr>
            </w:pPr>
            <w:r w:rsidRPr="00C554EF">
              <w:rPr>
                <w:b/>
                <w:color w:val="FFFFFF" w:themeColor="background1"/>
              </w:rPr>
              <w:t>Categories of Municipal Services</w:t>
            </w:r>
          </w:p>
          <w:p w14:paraId="4225932E" w14:textId="77777777" w:rsidR="009163A2" w:rsidRPr="00C554EF" w:rsidRDefault="009163A2" w:rsidP="009163A2">
            <w:pPr>
              <w:pStyle w:val="FigureTableTitles"/>
              <w:rPr>
                <w:b/>
                <w:color w:val="FFFFFF" w:themeColor="background1"/>
              </w:rPr>
            </w:pPr>
          </w:p>
        </w:tc>
        <w:tc>
          <w:tcPr>
            <w:tcW w:w="1510" w:type="dxa"/>
            <w:shd w:val="clear" w:color="auto" w:fill="425364"/>
            <w:vAlign w:val="center"/>
          </w:tcPr>
          <w:p w14:paraId="368C191D" w14:textId="77777777" w:rsidR="009163A2" w:rsidRPr="00C554EF" w:rsidRDefault="009163A2" w:rsidP="009163A2">
            <w:pPr>
              <w:pStyle w:val="FigureTableTitles"/>
              <w:cnfStyle w:val="000000000000" w:firstRow="0" w:lastRow="0" w:firstColumn="0" w:lastColumn="0" w:oddVBand="0" w:evenVBand="0" w:oddHBand="0" w:evenHBand="0" w:firstRowFirstColumn="0" w:firstRowLastColumn="0" w:lastRowFirstColumn="0" w:lastRowLastColumn="0"/>
              <w:rPr>
                <w:b/>
                <w:color w:val="FFFFFF" w:themeColor="background1"/>
              </w:rPr>
            </w:pPr>
            <w:r w:rsidRPr="00C554EF">
              <w:rPr>
                <w:b/>
                <w:color w:val="FFFFFF" w:themeColor="background1"/>
              </w:rPr>
              <w:t>Eligibility for Inclusion in the D.C. Calculation</w:t>
            </w:r>
          </w:p>
        </w:tc>
        <w:tc>
          <w:tcPr>
            <w:tcW w:w="3939" w:type="dxa"/>
            <w:shd w:val="clear" w:color="auto" w:fill="425364"/>
            <w:vAlign w:val="center"/>
          </w:tcPr>
          <w:p w14:paraId="37AC395D" w14:textId="77777777" w:rsidR="009163A2" w:rsidRPr="00C554EF" w:rsidRDefault="009163A2" w:rsidP="00674587">
            <w:pPr>
              <w:pStyle w:val="FigureTableTitles"/>
              <w:tabs>
                <w:tab w:val="left" w:pos="533"/>
              </w:tabs>
              <w:ind w:left="537" w:hanging="537"/>
              <w:cnfStyle w:val="000000000000" w:firstRow="0" w:lastRow="0" w:firstColumn="0" w:lastColumn="0" w:oddVBand="0" w:evenVBand="0" w:oddHBand="0" w:evenHBand="0" w:firstRowFirstColumn="0" w:firstRowLastColumn="0" w:lastRowFirstColumn="0" w:lastRowLastColumn="0"/>
              <w:rPr>
                <w:b/>
                <w:color w:val="FFFFFF" w:themeColor="background1"/>
              </w:rPr>
            </w:pPr>
            <w:r w:rsidRPr="00C554EF">
              <w:rPr>
                <w:b/>
                <w:color w:val="FFFFFF" w:themeColor="background1"/>
              </w:rPr>
              <w:t>Service Components</w:t>
            </w:r>
          </w:p>
        </w:tc>
        <w:tc>
          <w:tcPr>
            <w:tcW w:w="1503" w:type="dxa"/>
            <w:shd w:val="clear" w:color="auto" w:fill="425364"/>
            <w:vAlign w:val="center"/>
          </w:tcPr>
          <w:p w14:paraId="652177BB" w14:textId="77777777" w:rsidR="009163A2" w:rsidRPr="00C554EF" w:rsidRDefault="009163A2" w:rsidP="009163A2">
            <w:pPr>
              <w:pStyle w:val="FigureTableTitles"/>
              <w:cnfStyle w:val="000000000000" w:firstRow="0" w:lastRow="0" w:firstColumn="0" w:lastColumn="0" w:oddVBand="0" w:evenVBand="0" w:oddHBand="0" w:evenHBand="0" w:firstRowFirstColumn="0" w:firstRowLastColumn="0" w:lastRowFirstColumn="0" w:lastRowLastColumn="0"/>
              <w:rPr>
                <w:b/>
                <w:color w:val="FFFFFF" w:themeColor="background1"/>
              </w:rPr>
            </w:pPr>
            <w:r w:rsidRPr="00C554EF">
              <w:rPr>
                <w:b/>
                <w:color w:val="FFFFFF" w:themeColor="background1"/>
              </w:rPr>
              <w:t>Maximum Potential D.C. Recovery %</w:t>
            </w:r>
          </w:p>
        </w:tc>
      </w:tr>
      <w:tr w:rsidR="009163A2" w14:paraId="1BFBB7D2"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6FAF0A8E" w14:textId="77777777" w:rsidR="009163A2" w:rsidRPr="00513609" w:rsidRDefault="009163A2" w:rsidP="009163A2">
            <w:pPr>
              <w:pStyle w:val="BodyTextss"/>
              <w:spacing w:after="0"/>
              <w:ind w:left="420" w:hanging="450"/>
            </w:pPr>
            <w:r w:rsidRPr="00513609">
              <w:t>1.</w:t>
            </w:r>
            <w:r w:rsidRPr="00513609">
              <w:tab/>
              <w:t>Services Related to a Highway</w:t>
            </w:r>
          </w:p>
        </w:tc>
        <w:tc>
          <w:tcPr>
            <w:tcW w:w="1510" w:type="dxa"/>
          </w:tcPr>
          <w:p w14:paraId="2934E213"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6CD1A95F"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425BA3BD"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50A557CF"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72268B58"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No</w:t>
            </w:r>
          </w:p>
          <w:p w14:paraId="4BBCA56E"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1F234D8C"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2862AC82" w14:textId="77777777" w:rsidR="009163A2" w:rsidRDefault="009163A2" w:rsidP="00674587">
            <w:pPr>
              <w:pStyle w:val="FigureTableTitles"/>
              <w:spacing w:after="0"/>
              <w:cnfStyle w:val="000000000000" w:firstRow="0" w:lastRow="0" w:firstColumn="0" w:lastColumn="0" w:oddVBand="0" w:evenVBand="0" w:oddHBand="0" w:evenHBand="0" w:firstRowFirstColumn="0" w:firstRowLastColumn="0" w:lastRowFirstColumn="0" w:lastRowLastColumn="0"/>
            </w:pPr>
            <w:r w:rsidRPr="00513609">
              <w:t>Yes</w:t>
            </w:r>
          </w:p>
        </w:tc>
        <w:tc>
          <w:tcPr>
            <w:tcW w:w="3939" w:type="dxa"/>
          </w:tcPr>
          <w:p w14:paraId="6C80B6FD"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t>1</w:t>
            </w:r>
            <w:r>
              <w:tab/>
            </w:r>
            <w:r w:rsidRPr="00513609">
              <w:t>Arterial roads</w:t>
            </w:r>
          </w:p>
          <w:p w14:paraId="20F8F7DB"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1.2</w:t>
            </w:r>
            <w:r>
              <w:tab/>
              <w:t>C</w:t>
            </w:r>
            <w:r w:rsidRPr="00513609">
              <w:t>ollector roads</w:t>
            </w:r>
          </w:p>
          <w:p w14:paraId="0A494E6D" w14:textId="77777777" w:rsidR="009163A2"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 xml:space="preserve">1.3   Bridges, </w:t>
            </w:r>
            <w:r w:rsidR="00067456">
              <w:t>c</w:t>
            </w:r>
            <w:r w:rsidRPr="00513609">
              <w:t xml:space="preserve">ulverts and </w:t>
            </w:r>
          </w:p>
          <w:p w14:paraId="3952521D"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tab/>
            </w:r>
            <w:r w:rsidR="00067456">
              <w:t>r</w:t>
            </w:r>
            <w:r w:rsidRPr="00513609">
              <w:t>oundabouts</w:t>
            </w:r>
          </w:p>
          <w:p w14:paraId="2624E3F3"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1.4</w:t>
            </w:r>
            <w:r w:rsidRPr="00513609">
              <w:tab/>
              <w:t>Local municipal roads</w:t>
            </w:r>
          </w:p>
          <w:p w14:paraId="7049AAB4"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1.5</w:t>
            </w:r>
            <w:r w:rsidRPr="00513609">
              <w:tab/>
              <w:t>Traffic signals</w:t>
            </w:r>
          </w:p>
          <w:p w14:paraId="5526BBE4"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1.6</w:t>
            </w:r>
            <w:r w:rsidRPr="00513609">
              <w:tab/>
              <w:t>Sidewalks and streetlights</w:t>
            </w:r>
          </w:p>
          <w:p w14:paraId="4A030773" w14:textId="77777777" w:rsidR="009163A2" w:rsidRDefault="009163A2" w:rsidP="00674587">
            <w:pPr>
              <w:pStyle w:val="FigureTableTitles"/>
              <w:tabs>
                <w:tab w:val="left" w:pos="533"/>
              </w:tabs>
              <w:spacing w:after="0"/>
              <w:ind w:left="533" w:hanging="533"/>
              <w:jc w:val="left"/>
              <w:cnfStyle w:val="000000000000" w:firstRow="0" w:lastRow="0" w:firstColumn="0" w:lastColumn="0" w:oddVBand="0" w:evenVBand="0" w:oddHBand="0" w:evenHBand="0" w:firstRowFirstColumn="0" w:firstRowLastColumn="0" w:lastRowFirstColumn="0" w:lastRowLastColumn="0"/>
            </w:pPr>
            <w:r w:rsidRPr="00513609">
              <w:t xml:space="preserve">1.7  </w:t>
            </w:r>
            <w:r>
              <w:t xml:space="preserve"> </w:t>
            </w:r>
            <w:r w:rsidRPr="00513609">
              <w:t xml:space="preserve">Active </w:t>
            </w:r>
            <w:r w:rsidR="00067456">
              <w:t>t</w:t>
            </w:r>
            <w:r w:rsidRPr="00513609">
              <w:t>ransportation</w:t>
            </w:r>
          </w:p>
        </w:tc>
        <w:tc>
          <w:tcPr>
            <w:tcW w:w="1503" w:type="dxa"/>
          </w:tcPr>
          <w:p w14:paraId="714196A6"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7C3D5044"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573D4B8B" w14:textId="77777777" w:rsidR="00674587" w:rsidRPr="00513609" w:rsidRDefault="00674587"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658803A9"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2E016760"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p w14:paraId="06E7A6D2"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7FF76AB3"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51C55FDE" w14:textId="77777777" w:rsidR="009163A2" w:rsidRDefault="009163A2" w:rsidP="00674587">
            <w:pPr>
              <w:pStyle w:val="FigureTableTitles"/>
              <w:spacing w:after="0"/>
              <w:cnfStyle w:val="000000000000" w:firstRow="0" w:lastRow="0" w:firstColumn="0" w:lastColumn="0" w:oddVBand="0" w:evenVBand="0" w:oddHBand="0" w:evenHBand="0" w:firstRowFirstColumn="0" w:firstRowLastColumn="0" w:lastRowFirstColumn="0" w:lastRowLastColumn="0"/>
            </w:pPr>
            <w:r w:rsidRPr="00513609">
              <w:t>100</w:t>
            </w:r>
          </w:p>
        </w:tc>
      </w:tr>
      <w:tr w:rsidR="009163A2" w14:paraId="1C11F584"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22C7A38C" w14:textId="77777777" w:rsidR="009163A2" w:rsidRPr="00513609" w:rsidRDefault="009163A2" w:rsidP="009163A2">
            <w:pPr>
              <w:pStyle w:val="BodyTextss"/>
              <w:spacing w:after="0"/>
              <w:ind w:left="420" w:hanging="450"/>
            </w:pPr>
            <w:r w:rsidRPr="00513609">
              <w:t>2.</w:t>
            </w:r>
            <w:r w:rsidRPr="00513609">
              <w:tab/>
              <w:t>Other Transportation Services</w:t>
            </w:r>
          </w:p>
        </w:tc>
        <w:tc>
          <w:tcPr>
            <w:tcW w:w="1510" w:type="dxa"/>
          </w:tcPr>
          <w:p w14:paraId="5FD9E46F" w14:textId="32A7A8F3"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p w14:paraId="451D6777" w14:textId="488F46BE"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p w14:paraId="141724B6" w14:textId="40A16A15"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Ineligible</w:t>
            </w:r>
          </w:p>
          <w:p w14:paraId="56E823D8" w14:textId="77777777" w:rsidR="00C554EF" w:rsidRDefault="00C554EF"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22B40B7C" w14:textId="37D55D22"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Ineligible</w:t>
            </w:r>
          </w:p>
          <w:p w14:paraId="70294ABE"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7B254BCA"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60D96C75"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1022A9E3"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n/a</w:t>
            </w:r>
          </w:p>
          <w:p w14:paraId="1CDC13BA" w14:textId="3B55B550"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3939" w:type="dxa"/>
          </w:tcPr>
          <w:p w14:paraId="41ED8B21"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2.1</w:t>
            </w:r>
            <w:r w:rsidRPr="00513609">
              <w:tab/>
              <w:t>Transit vehicles</w:t>
            </w:r>
            <w:r w:rsidRPr="00513609">
              <w:rPr>
                <w:vertAlign w:val="superscript"/>
              </w:rPr>
              <w:t>1</w:t>
            </w:r>
            <w:r w:rsidRPr="00513609">
              <w:t xml:space="preserve"> &amp; facilities</w:t>
            </w:r>
          </w:p>
          <w:p w14:paraId="50FF528B"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2.2</w:t>
            </w:r>
            <w:r w:rsidRPr="00513609">
              <w:tab/>
              <w:t>Other transit infrastructure</w:t>
            </w:r>
          </w:p>
          <w:p w14:paraId="6E0E8B5D"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2.3</w:t>
            </w:r>
            <w:r w:rsidRPr="00513609">
              <w:tab/>
              <w:t>Municipal parking spaces - indoor</w:t>
            </w:r>
          </w:p>
          <w:p w14:paraId="3F056C11"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2.4</w:t>
            </w:r>
            <w:r w:rsidRPr="00513609">
              <w:tab/>
              <w:t>Municipal parking spaces - outdoor</w:t>
            </w:r>
          </w:p>
          <w:p w14:paraId="4E0F96A0"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2.5</w:t>
            </w:r>
            <w:r w:rsidRPr="00513609">
              <w:tab/>
              <w:t xml:space="preserve">Works </w:t>
            </w:r>
            <w:r w:rsidR="00067456">
              <w:t>y</w:t>
            </w:r>
            <w:r w:rsidRPr="00513609">
              <w:t>ards</w:t>
            </w:r>
          </w:p>
          <w:p w14:paraId="471258C8"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2.6</w:t>
            </w:r>
            <w:r w:rsidRPr="00513609">
              <w:tab/>
              <w:t>Rolling stock</w:t>
            </w:r>
            <w:r w:rsidRPr="00513609">
              <w:rPr>
                <w:rStyle w:val="FootnoteReference"/>
              </w:rPr>
              <w:footnoteReference w:id="8"/>
            </w:r>
          </w:p>
          <w:p w14:paraId="25E4D6A3"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2.7</w:t>
            </w:r>
            <w:r w:rsidRPr="00513609">
              <w:tab/>
              <w:t>Ferries</w:t>
            </w:r>
          </w:p>
          <w:p w14:paraId="570AE6DB" w14:textId="400974D9"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2.8</w:t>
            </w:r>
            <w:r w:rsidRPr="00513609">
              <w:tab/>
              <w:t>Airport</w:t>
            </w:r>
            <w:r w:rsidR="00EF766C">
              <w:t xml:space="preserve"> (Waterloo Region only)</w:t>
            </w:r>
          </w:p>
        </w:tc>
        <w:tc>
          <w:tcPr>
            <w:tcW w:w="1503" w:type="dxa"/>
          </w:tcPr>
          <w:p w14:paraId="58474FE0"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100</w:t>
            </w:r>
          </w:p>
          <w:p w14:paraId="42D028EE"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100</w:t>
            </w:r>
          </w:p>
          <w:p w14:paraId="46BF0329" w14:textId="77777777" w:rsidR="00674587" w:rsidRPr="00513609" w:rsidRDefault="00674587"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28E9076D" w14:textId="67F82A61"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p w14:paraId="0ECE97AC" w14:textId="77777777" w:rsidR="00674587" w:rsidRDefault="00674587"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269D685E" w14:textId="367EABD2"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p w14:paraId="7FB9B18A"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11DD01B5"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669738EB" w14:textId="38BEFAA4"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526F8A1A" w14:textId="028BF6EE"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tc>
      </w:tr>
      <w:tr w:rsidR="009163A2" w14:paraId="26BE8D6E"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78049C45" w14:textId="77777777" w:rsidR="009163A2" w:rsidRPr="00513609" w:rsidRDefault="009163A2" w:rsidP="009163A2">
            <w:pPr>
              <w:pStyle w:val="BodyTextss"/>
              <w:spacing w:after="0"/>
              <w:ind w:left="420" w:hanging="450"/>
            </w:pPr>
            <w:r w:rsidRPr="00513609">
              <w:t>3.</w:t>
            </w:r>
            <w:r w:rsidRPr="00513609">
              <w:tab/>
              <w:t>Stormwater Drainage and Control Services</w:t>
            </w:r>
          </w:p>
        </w:tc>
        <w:tc>
          <w:tcPr>
            <w:tcW w:w="1510" w:type="dxa"/>
          </w:tcPr>
          <w:p w14:paraId="63EC02AB"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702F40D8"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5FD79FCB"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6E1A1C5D"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tc>
        <w:tc>
          <w:tcPr>
            <w:tcW w:w="3939" w:type="dxa"/>
          </w:tcPr>
          <w:p w14:paraId="7ABF1205" w14:textId="77777777" w:rsidR="009163A2"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3.1</w:t>
            </w:r>
            <w:r w:rsidRPr="00513609">
              <w:tab/>
              <w:t xml:space="preserve">Main channels and drainage </w:t>
            </w:r>
          </w:p>
          <w:p w14:paraId="0F233BEF"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tab/>
            </w:r>
            <w:r w:rsidRPr="00513609">
              <w:t>trunks</w:t>
            </w:r>
          </w:p>
          <w:p w14:paraId="55BF0BE0"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3.2</w:t>
            </w:r>
            <w:r w:rsidRPr="00513609">
              <w:tab/>
              <w:t>Channel connections</w:t>
            </w:r>
          </w:p>
          <w:p w14:paraId="1D37783A"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3.3</w:t>
            </w:r>
            <w:r w:rsidRPr="00513609">
              <w:tab/>
              <w:t>Retention/detention ponds</w:t>
            </w:r>
          </w:p>
        </w:tc>
        <w:tc>
          <w:tcPr>
            <w:tcW w:w="1503" w:type="dxa"/>
          </w:tcPr>
          <w:p w14:paraId="740C1977"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0F39E69D"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3B50DC98"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282B789B"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tc>
      </w:tr>
      <w:tr w:rsidR="009163A2" w14:paraId="6F6B9D4E"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7744747F" w14:textId="77777777" w:rsidR="009163A2" w:rsidRPr="00513609" w:rsidRDefault="009163A2" w:rsidP="009163A2">
            <w:pPr>
              <w:pStyle w:val="BodyTextss"/>
              <w:spacing w:after="0"/>
              <w:ind w:left="420" w:hanging="450"/>
            </w:pPr>
            <w:r w:rsidRPr="00513609">
              <w:t>4.</w:t>
            </w:r>
            <w:r w:rsidRPr="00513609">
              <w:tab/>
              <w:t>Fire Protection Services</w:t>
            </w:r>
          </w:p>
        </w:tc>
        <w:tc>
          <w:tcPr>
            <w:tcW w:w="1510" w:type="dxa"/>
          </w:tcPr>
          <w:p w14:paraId="18362D8A"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717DD548"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678F1131" w14:textId="77777777" w:rsidR="007C2BCA" w:rsidRPr="00513609" w:rsidRDefault="007C2BCA"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036C164F"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tc>
        <w:tc>
          <w:tcPr>
            <w:tcW w:w="3939" w:type="dxa"/>
          </w:tcPr>
          <w:p w14:paraId="64A07E95"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4.1</w:t>
            </w:r>
            <w:r w:rsidRPr="00513609">
              <w:tab/>
              <w:t>Fire stations</w:t>
            </w:r>
          </w:p>
          <w:p w14:paraId="7C250892"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4.2</w:t>
            </w:r>
            <w:r w:rsidRPr="00513609">
              <w:tab/>
              <w:t>Fire pumpers, aerials and rescue</w:t>
            </w:r>
            <w:r w:rsidR="00674587">
              <w:t xml:space="preserve"> </w:t>
            </w:r>
            <w:r w:rsidRPr="00513609">
              <w:t>vehicles</w:t>
            </w:r>
            <w:r w:rsidRPr="00513609">
              <w:rPr>
                <w:vertAlign w:val="superscript"/>
              </w:rPr>
              <w:t>1</w:t>
            </w:r>
          </w:p>
          <w:p w14:paraId="33C6BF34"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4.3</w:t>
            </w:r>
            <w:r w:rsidRPr="00513609">
              <w:tab/>
              <w:t>Small equipment and gear</w:t>
            </w:r>
          </w:p>
        </w:tc>
        <w:tc>
          <w:tcPr>
            <w:tcW w:w="1503" w:type="dxa"/>
          </w:tcPr>
          <w:p w14:paraId="6AA1F299"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61E4C713"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20B60889" w14:textId="77777777" w:rsidR="00674587" w:rsidRPr="00513609" w:rsidRDefault="00674587"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02722114"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tc>
      </w:tr>
      <w:tr w:rsidR="009163A2" w14:paraId="06DB141A"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0E7EBD84" w14:textId="16C711C0" w:rsidR="009163A2" w:rsidRPr="00513609" w:rsidRDefault="009163A2" w:rsidP="009163A2">
            <w:pPr>
              <w:pStyle w:val="BodyTextss"/>
              <w:spacing w:after="0"/>
              <w:ind w:left="420" w:hanging="450"/>
            </w:pPr>
            <w:r w:rsidRPr="00513609">
              <w:t>5.</w:t>
            </w:r>
            <w:r w:rsidRPr="00513609">
              <w:tab/>
            </w:r>
            <w:r w:rsidR="00EF766C">
              <w:t>Parks</w:t>
            </w:r>
            <w:r w:rsidRPr="00513609">
              <w:t xml:space="preserve"> Services (i.e. Parks and Open Space)</w:t>
            </w:r>
          </w:p>
        </w:tc>
        <w:tc>
          <w:tcPr>
            <w:tcW w:w="1510" w:type="dxa"/>
          </w:tcPr>
          <w:p w14:paraId="2F392508"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Ineligible</w:t>
            </w:r>
          </w:p>
          <w:p w14:paraId="3E4E6099" w14:textId="77777777" w:rsidR="00C554EF" w:rsidRPr="00513609" w:rsidRDefault="00C554EF"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5FDCAC5D"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2FCD635F" w14:textId="77777777" w:rsidR="00C554EF" w:rsidRPr="00513609" w:rsidRDefault="00C554EF"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756A0974"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7FF98E17"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23CCF860"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096143A2"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736C5FA3" w14:textId="77777777" w:rsidR="00C554EF" w:rsidRPr="00513609" w:rsidRDefault="00C554EF"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1F9DDC7D"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tc>
        <w:tc>
          <w:tcPr>
            <w:tcW w:w="3939" w:type="dxa"/>
          </w:tcPr>
          <w:p w14:paraId="06206D06" w14:textId="77777777"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5.1</w:t>
            </w:r>
            <w:r>
              <w:tab/>
            </w:r>
            <w:r w:rsidRPr="00513609">
              <w:t xml:space="preserve">Acquisition of land for parks, woodlots and </w:t>
            </w:r>
            <w:r>
              <w:t>E.S.A.</w:t>
            </w:r>
            <w:r w:rsidRPr="00513609">
              <w:t>s</w:t>
            </w:r>
          </w:p>
          <w:p w14:paraId="250328D7" w14:textId="77777777"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5.2</w:t>
            </w:r>
            <w:r w:rsidRPr="00513609">
              <w:tab/>
              <w:t>Development of area municipal parks</w:t>
            </w:r>
          </w:p>
          <w:p w14:paraId="054299A6" w14:textId="77777777"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5.3</w:t>
            </w:r>
            <w:r w:rsidRPr="00513609">
              <w:tab/>
              <w:t>Development of district parks</w:t>
            </w:r>
          </w:p>
          <w:p w14:paraId="670D2B1A" w14:textId="77777777"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5.4</w:t>
            </w:r>
            <w:r w:rsidRPr="00513609">
              <w:tab/>
              <w:t xml:space="preserve">Development of </w:t>
            </w:r>
            <w:r>
              <w:t>municipal</w:t>
            </w:r>
            <w:r w:rsidRPr="00513609">
              <w:t>-wide parks</w:t>
            </w:r>
          </w:p>
          <w:p w14:paraId="7F3B6E51" w14:textId="77777777"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5.5</w:t>
            </w:r>
            <w:r w:rsidRPr="00513609">
              <w:tab/>
              <w:t>Development of special purpose parks</w:t>
            </w:r>
          </w:p>
          <w:p w14:paraId="26040C84" w14:textId="77777777" w:rsidR="009163A2" w:rsidRPr="00513609" w:rsidRDefault="009163A2" w:rsidP="00674587">
            <w:pPr>
              <w:pStyle w:val="BodyTextss"/>
              <w:tabs>
                <w:tab w:val="left" w:pos="533"/>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5.6</w:t>
            </w:r>
            <w:r w:rsidRPr="00513609">
              <w:tab/>
              <w:t>Parks rolling stock</w:t>
            </w:r>
            <w:r w:rsidRPr="00513609">
              <w:rPr>
                <w:vertAlign w:val="superscript"/>
              </w:rPr>
              <w:t>1</w:t>
            </w:r>
            <w:r w:rsidRPr="00513609">
              <w:t xml:space="preserve"> and yards</w:t>
            </w:r>
          </w:p>
        </w:tc>
        <w:tc>
          <w:tcPr>
            <w:tcW w:w="1503" w:type="dxa"/>
          </w:tcPr>
          <w:p w14:paraId="17F5266C"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p w14:paraId="11712AEC" w14:textId="77777777" w:rsidR="007C2BCA" w:rsidRPr="00513609" w:rsidRDefault="007C2BCA"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32CFB043" w14:textId="3F03A6BE" w:rsidR="009163A2"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64A9C890" w14:textId="77777777" w:rsidR="00C554EF" w:rsidRPr="00513609" w:rsidRDefault="00C554EF"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60802E6D" w14:textId="3A4422D8" w:rsidR="009163A2"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3081FDF1" w14:textId="77777777" w:rsidR="00C554EF" w:rsidRPr="00513609" w:rsidRDefault="00C554EF"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05F7C113" w14:textId="5DC7081C" w:rsidR="009163A2"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0CB6A410"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55C0A917" w14:textId="4F7CFE47"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5B23C8CC" w14:textId="24BC5091"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tc>
      </w:tr>
      <w:tr w:rsidR="009163A2" w14:paraId="346FE287"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1D9EE2B1" w14:textId="6E00BA74" w:rsidR="009163A2" w:rsidRPr="00513609" w:rsidRDefault="009163A2" w:rsidP="009163A2">
            <w:pPr>
              <w:pStyle w:val="BodyTextss"/>
              <w:spacing w:after="0"/>
              <w:ind w:left="420" w:hanging="450"/>
            </w:pPr>
            <w:r w:rsidRPr="00513609">
              <w:t>6.</w:t>
            </w:r>
            <w:r w:rsidRPr="00513609">
              <w:tab/>
              <w:t>Recreation Services</w:t>
            </w:r>
          </w:p>
        </w:tc>
        <w:tc>
          <w:tcPr>
            <w:tcW w:w="1510" w:type="dxa"/>
          </w:tcPr>
          <w:p w14:paraId="736B7172" w14:textId="77777777" w:rsidR="009163A2" w:rsidRPr="00513609" w:rsidRDefault="009163A2" w:rsidP="00C554EF">
            <w:pPr>
              <w:pStyle w:val="BodyTextss"/>
              <w:spacing w:after="520"/>
              <w:jc w:val="center"/>
              <w:cnfStyle w:val="000000000000" w:firstRow="0" w:lastRow="0" w:firstColumn="0" w:lastColumn="0" w:oddVBand="0" w:evenVBand="0" w:oddHBand="0" w:evenHBand="0" w:firstRowFirstColumn="0" w:firstRowLastColumn="0" w:lastRowFirstColumn="0" w:lastRowLastColumn="0"/>
            </w:pPr>
            <w:r w:rsidRPr="00513609">
              <w:t>Yes</w:t>
            </w:r>
          </w:p>
          <w:p w14:paraId="7BEC17C0"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tc>
        <w:tc>
          <w:tcPr>
            <w:tcW w:w="3939" w:type="dxa"/>
          </w:tcPr>
          <w:p w14:paraId="2B580BF9" w14:textId="77777777"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6.1</w:t>
            </w:r>
            <w:r w:rsidRPr="00513609">
              <w:tab/>
              <w:t>Arenas, indoor pools, fitness facilities, community centres, etc. (including land)</w:t>
            </w:r>
          </w:p>
          <w:p w14:paraId="6BD02699" w14:textId="77777777"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6.2</w:t>
            </w:r>
            <w:r w:rsidRPr="00513609">
              <w:tab/>
              <w:t>Recreation vehicles and equipment</w:t>
            </w:r>
            <w:r>
              <w:rPr>
                <w:rStyle w:val="FootnoteReference"/>
              </w:rPr>
              <w:footnoteReference w:id="9"/>
            </w:r>
          </w:p>
        </w:tc>
        <w:tc>
          <w:tcPr>
            <w:tcW w:w="1503" w:type="dxa"/>
          </w:tcPr>
          <w:p w14:paraId="2B659EF0" w14:textId="4AC7B832" w:rsidR="009163A2" w:rsidRPr="00513609" w:rsidRDefault="00EF766C" w:rsidP="00C554EF">
            <w:pPr>
              <w:pStyle w:val="BodyTextss"/>
              <w:spacing w:after="52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748F31A1" w14:textId="16A52820"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tc>
      </w:tr>
      <w:tr w:rsidR="009163A2" w14:paraId="02E2E190"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43522464" w14:textId="77777777" w:rsidR="009163A2" w:rsidRPr="00513609" w:rsidRDefault="009163A2" w:rsidP="009163A2">
            <w:pPr>
              <w:pStyle w:val="BodyTextss"/>
              <w:spacing w:after="0"/>
              <w:ind w:left="420" w:hanging="450"/>
            </w:pPr>
            <w:r w:rsidRPr="00513609">
              <w:t>7.</w:t>
            </w:r>
            <w:r w:rsidRPr="00513609">
              <w:tab/>
              <w:t>Library Services</w:t>
            </w:r>
          </w:p>
        </w:tc>
        <w:tc>
          <w:tcPr>
            <w:tcW w:w="1510" w:type="dxa"/>
          </w:tcPr>
          <w:p w14:paraId="414AF7E1"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74144DA0" w14:textId="77777777" w:rsidR="00C554EF" w:rsidRPr="00513609" w:rsidRDefault="00C554EF"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49F2D9A0" w14:textId="03A07FAF" w:rsidR="009163A2"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p w14:paraId="0493BB8D"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Yes</w:t>
            </w:r>
          </w:p>
        </w:tc>
        <w:tc>
          <w:tcPr>
            <w:tcW w:w="3939" w:type="dxa"/>
          </w:tcPr>
          <w:p w14:paraId="328EBD55" w14:textId="77777777"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7.1</w:t>
            </w:r>
            <w:r w:rsidRPr="00513609">
              <w:tab/>
              <w:t>Public library space (incl. furniture and equipment)</w:t>
            </w:r>
          </w:p>
          <w:p w14:paraId="290226B2" w14:textId="77777777"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t>7.2</w:t>
            </w:r>
            <w:r>
              <w:tab/>
              <w:t>Library v</w:t>
            </w:r>
            <w:r w:rsidRPr="00513609">
              <w:t>ehicles¹</w:t>
            </w:r>
          </w:p>
          <w:p w14:paraId="529332B6" w14:textId="77777777"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7.3</w:t>
            </w:r>
            <w:r w:rsidRPr="00513609">
              <w:tab/>
              <w:t>Library materials</w:t>
            </w:r>
          </w:p>
        </w:tc>
        <w:tc>
          <w:tcPr>
            <w:tcW w:w="1503" w:type="dxa"/>
          </w:tcPr>
          <w:p w14:paraId="740D44DC" w14:textId="77777777" w:rsidR="00C554EF" w:rsidRDefault="00C554EF"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3C179678" w14:textId="5B6B5808"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6FF45ED2" w14:textId="6009B979" w:rsidR="009163A2"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0CE68758" w14:textId="76C4FA35"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t>0</w:t>
            </w:r>
          </w:p>
        </w:tc>
      </w:tr>
      <w:tr w:rsidR="00EF766C" w14:paraId="0D10CA07"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52F1975B" w14:textId="07AEC249" w:rsidR="00EF766C" w:rsidRPr="00513609" w:rsidRDefault="00EF766C" w:rsidP="009163A2">
            <w:pPr>
              <w:pStyle w:val="BodyTextss"/>
              <w:spacing w:after="0"/>
              <w:ind w:left="420" w:hanging="450"/>
            </w:pPr>
            <w:r>
              <w:t>8.    Emergency Preparedness Services</w:t>
            </w:r>
          </w:p>
        </w:tc>
        <w:tc>
          <w:tcPr>
            <w:tcW w:w="1510" w:type="dxa"/>
          </w:tcPr>
          <w:p w14:paraId="40737BBD" w14:textId="366DF6CE" w:rsidR="00EF766C"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No</w:t>
            </w:r>
          </w:p>
          <w:p w14:paraId="3C3F66D9" w14:textId="77777777" w:rsidR="003633CA" w:rsidRDefault="003633CA"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54CDBF06" w14:textId="0A9CCBB4" w:rsidR="00EF766C"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No</w:t>
            </w:r>
          </w:p>
          <w:p w14:paraId="19486649" w14:textId="3D17033F" w:rsidR="00EF766C"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 xml:space="preserve">No </w:t>
            </w:r>
          </w:p>
        </w:tc>
        <w:tc>
          <w:tcPr>
            <w:tcW w:w="3939" w:type="dxa"/>
          </w:tcPr>
          <w:p w14:paraId="14B0974D" w14:textId="55A9287B" w:rsidR="00EF766C" w:rsidRDefault="00EF766C" w:rsidP="00F43901">
            <w:pPr>
              <w:pStyle w:val="BodyTextss"/>
              <w:numPr>
                <w:ilvl w:val="1"/>
                <w:numId w:val="22"/>
              </w:numPr>
              <w:tabs>
                <w:tab w:val="left" w:pos="533"/>
                <w:tab w:val="left" w:pos="691"/>
              </w:tabs>
              <w:spacing w:after="0"/>
              <w:ind w:left="478"/>
              <w:cnfStyle w:val="000000000000" w:firstRow="0" w:lastRow="0" w:firstColumn="0" w:lastColumn="0" w:oddVBand="0" w:evenVBand="0" w:oddHBand="0" w:evenHBand="0" w:firstRowFirstColumn="0" w:firstRowLastColumn="0" w:lastRowFirstColumn="0" w:lastRowLastColumn="0"/>
            </w:pPr>
            <w:r>
              <w:t>Facility space (incl. furniture and equipment)</w:t>
            </w:r>
          </w:p>
          <w:p w14:paraId="49887E15" w14:textId="7B839410" w:rsidR="00EF766C" w:rsidRDefault="00EF766C" w:rsidP="00F43901">
            <w:pPr>
              <w:pStyle w:val="BodyTextss"/>
              <w:numPr>
                <w:ilvl w:val="1"/>
                <w:numId w:val="22"/>
              </w:numPr>
              <w:tabs>
                <w:tab w:val="left" w:pos="533"/>
                <w:tab w:val="left" w:pos="691"/>
              </w:tabs>
              <w:spacing w:after="0"/>
              <w:ind w:left="478"/>
              <w:cnfStyle w:val="000000000000" w:firstRow="0" w:lastRow="0" w:firstColumn="0" w:lastColumn="0" w:oddVBand="0" w:evenVBand="0" w:oddHBand="0" w:evenHBand="0" w:firstRowFirstColumn="0" w:firstRowLastColumn="0" w:lastRowFirstColumn="0" w:lastRowLastColumn="0"/>
            </w:pPr>
            <w:r>
              <w:t>Vehicles</w:t>
            </w:r>
            <w:r w:rsidRPr="00EF766C">
              <w:rPr>
                <w:vertAlign w:val="superscript"/>
              </w:rPr>
              <w:t>1</w:t>
            </w:r>
          </w:p>
          <w:p w14:paraId="0988CB66" w14:textId="39F49F1F" w:rsidR="00EF766C" w:rsidRPr="00513609" w:rsidRDefault="00EF766C" w:rsidP="00F43901">
            <w:pPr>
              <w:pStyle w:val="BodyTextss"/>
              <w:numPr>
                <w:ilvl w:val="1"/>
                <w:numId w:val="22"/>
              </w:numPr>
              <w:tabs>
                <w:tab w:val="left" w:pos="533"/>
                <w:tab w:val="left" w:pos="691"/>
              </w:tabs>
              <w:spacing w:after="0"/>
              <w:ind w:left="478"/>
              <w:cnfStyle w:val="000000000000" w:firstRow="0" w:lastRow="0" w:firstColumn="0" w:lastColumn="0" w:oddVBand="0" w:evenVBand="0" w:oddHBand="0" w:evenHBand="0" w:firstRowFirstColumn="0" w:firstRowLastColumn="0" w:lastRowFirstColumn="0" w:lastRowLastColumn="0"/>
            </w:pPr>
            <w:r>
              <w:t>Equipment</w:t>
            </w:r>
          </w:p>
        </w:tc>
        <w:tc>
          <w:tcPr>
            <w:tcW w:w="1503" w:type="dxa"/>
          </w:tcPr>
          <w:p w14:paraId="6E620F17" w14:textId="77777777" w:rsidR="00EF766C"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100</w:t>
            </w:r>
          </w:p>
          <w:p w14:paraId="188CA501" w14:textId="77777777" w:rsidR="00EF766C"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6033EE74" w14:textId="0AE1EEA3" w:rsidR="00EF766C"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100</w:t>
            </w:r>
          </w:p>
          <w:p w14:paraId="5FEFC977" w14:textId="78894D90" w:rsidR="00EF766C"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100</w:t>
            </w:r>
          </w:p>
        </w:tc>
      </w:tr>
      <w:tr w:rsidR="009163A2" w14:paraId="1CE09131"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54F3F354" w14:textId="40C1CB34" w:rsidR="009163A2" w:rsidRPr="00513609" w:rsidRDefault="00EF766C" w:rsidP="009163A2">
            <w:pPr>
              <w:pStyle w:val="BodyTextss"/>
              <w:spacing w:after="0"/>
              <w:ind w:left="420" w:hanging="450"/>
            </w:pPr>
            <w:r>
              <w:t>9</w:t>
            </w:r>
            <w:r w:rsidR="009163A2" w:rsidRPr="00513609">
              <w:t>.</w:t>
            </w:r>
            <w:r w:rsidR="009163A2" w:rsidRPr="00513609">
              <w:tab/>
              <w:t xml:space="preserve">Electrical Power Services </w:t>
            </w:r>
          </w:p>
        </w:tc>
        <w:tc>
          <w:tcPr>
            <w:tcW w:w="1510" w:type="dxa"/>
          </w:tcPr>
          <w:p w14:paraId="2DCAC931"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Ineligible</w:t>
            </w:r>
          </w:p>
          <w:p w14:paraId="579527F4"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Ineligible</w:t>
            </w:r>
          </w:p>
          <w:p w14:paraId="102A9C9A"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Ineligible</w:t>
            </w:r>
          </w:p>
        </w:tc>
        <w:tc>
          <w:tcPr>
            <w:tcW w:w="3939" w:type="dxa"/>
          </w:tcPr>
          <w:p w14:paraId="4DC67512" w14:textId="628EFF87" w:rsidR="009163A2" w:rsidRPr="00513609" w:rsidRDefault="00EF766C"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t>9</w:t>
            </w:r>
            <w:r w:rsidR="009163A2" w:rsidRPr="00513609">
              <w:t>.1</w:t>
            </w:r>
            <w:r w:rsidR="009163A2" w:rsidRPr="00513609">
              <w:tab/>
              <w:t>Electrical substations</w:t>
            </w:r>
          </w:p>
          <w:p w14:paraId="5186050F" w14:textId="18BEFC38" w:rsidR="009163A2" w:rsidRPr="00513609" w:rsidRDefault="00EF766C"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t>9</w:t>
            </w:r>
            <w:r w:rsidR="009163A2" w:rsidRPr="00513609">
              <w:t>.2</w:t>
            </w:r>
            <w:r w:rsidR="009163A2" w:rsidRPr="00513609">
              <w:tab/>
              <w:t>Electrical distribution system</w:t>
            </w:r>
          </w:p>
          <w:p w14:paraId="1D7D0245" w14:textId="07112C04" w:rsidR="009163A2" w:rsidRPr="00513609" w:rsidRDefault="00EF766C"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t>9</w:t>
            </w:r>
            <w:r w:rsidR="009163A2" w:rsidRPr="00513609">
              <w:t>.3</w:t>
            </w:r>
            <w:r w:rsidR="009163A2" w:rsidRPr="00513609">
              <w:tab/>
              <w:t>Electrical system rolling stock</w:t>
            </w:r>
          </w:p>
        </w:tc>
        <w:tc>
          <w:tcPr>
            <w:tcW w:w="1503" w:type="dxa"/>
          </w:tcPr>
          <w:p w14:paraId="5FCCC12B"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p w14:paraId="4D1B7FFD"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p w14:paraId="3309DFEF"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tc>
      </w:tr>
      <w:tr w:rsidR="009163A2" w14:paraId="3E7A9412"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6E2ED592" w14:textId="7009D4EB" w:rsidR="009163A2" w:rsidRPr="00513609" w:rsidRDefault="00EF766C" w:rsidP="009163A2">
            <w:pPr>
              <w:pStyle w:val="BodyTextss"/>
              <w:spacing w:after="0"/>
              <w:ind w:left="420" w:hanging="450"/>
            </w:pPr>
            <w:r>
              <w:t>10</w:t>
            </w:r>
            <w:r w:rsidR="009163A2" w:rsidRPr="00513609">
              <w:t>.</w:t>
            </w:r>
            <w:r w:rsidR="009163A2" w:rsidRPr="00513609">
              <w:tab/>
              <w:t>Provision of Cultural, Entertain</w:t>
            </w:r>
            <w:r w:rsidR="009163A2">
              <w:t>ment</w:t>
            </w:r>
            <w:r w:rsidR="009163A2" w:rsidRPr="00513609">
              <w:t xml:space="preserve"> and Tourism Facilities and Convention Centres</w:t>
            </w:r>
          </w:p>
        </w:tc>
        <w:tc>
          <w:tcPr>
            <w:tcW w:w="1510" w:type="dxa"/>
          </w:tcPr>
          <w:p w14:paraId="15C43AE7" w14:textId="77777777" w:rsidR="009163A2" w:rsidRPr="00513609" w:rsidRDefault="009163A2" w:rsidP="00C554EF">
            <w:pPr>
              <w:pStyle w:val="BodyTextss"/>
              <w:spacing w:after="540"/>
              <w:jc w:val="center"/>
              <w:cnfStyle w:val="000000000000" w:firstRow="0" w:lastRow="0" w:firstColumn="0" w:lastColumn="0" w:oddVBand="0" w:evenVBand="0" w:oddHBand="0" w:evenHBand="0" w:firstRowFirstColumn="0" w:firstRowLastColumn="0" w:lastRowFirstColumn="0" w:lastRowLastColumn="0"/>
            </w:pPr>
            <w:r w:rsidRPr="00513609">
              <w:t>Ineligible</w:t>
            </w:r>
          </w:p>
          <w:p w14:paraId="241462F2"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Ineligible</w:t>
            </w:r>
          </w:p>
        </w:tc>
        <w:tc>
          <w:tcPr>
            <w:tcW w:w="3939" w:type="dxa"/>
          </w:tcPr>
          <w:p w14:paraId="3D24AC24" w14:textId="5EF622EF" w:rsidR="009163A2" w:rsidRPr="00513609" w:rsidRDefault="00EF766C"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t>10</w:t>
            </w:r>
            <w:r w:rsidR="009163A2" w:rsidRPr="00513609">
              <w:t>.1</w:t>
            </w:r>
            <w:r w:rsidR="009163A2" w:rsidRPr="00513609">
              <w:tab/>
              <w:t>Cultural space (e.g. art galleries, museums and theatres)</w:t>
            </w:r>
          </w:p>
          <w:p w14:paraId="42ECACD5" w14:textId="66AA3F3D" w:rsidR="009163A2" w:rsidRPr="00513609" w:rsidRDefault="00EF766C"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t>10</w:t>
            </w:r>
            <w:r w:rsidR="009163A2" w:rsidRPr="00513609">
              <w:t>.2</w:t>
            </w:r>
            <w:r w:rsidR="009163A2" w:rsidRPr="00513609">
              <w:tab/>
              <w:t>Tourism facilities and convention centres</w:t>
            </w:r>
          </w:p>
        </w:tc>
        <w:tc>
          <w:tcPr>
            <w:tcW w:w="1503" w:type="dxa"/>
          </w:tcPr>
          <w:p w14:paraId="0CAF335C" w14:textId="77777777" w:rsidR="009163A2" w:rsidRPr="00513609" w:rsidRDefault="009163A2" w:rsidP="00C554EF">
            <w:pPr>
              <w:pStyle w:val="BodyTextss"/>
              <w:spacing w:after="540"/>
              <w:jc w:val="center"/>
              <w:cnfStyle w:val="000000000000" w:firstRow="0" w:lastRow="0" w:firstColumn="0" w:lastColumn="0" w:oddVBand="0" w:evenVBand="0" w:oddHBand="0" w:evenHBand="0" w:firstRowFirstColumn="0" w:firstRowLastColumn="0" w:lastRowFirstColumn="0" w:lastRowLastColumn="0"/>
            </w:pPr>
            <w:r w:rsidRPr="00513609">
              <w:t>0</w:t>
            </w:r>
          </w:p>
          <w:p w14:paraId="38520AF1"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tc>
      </w:tr>
      <w:tr w:rsidR="009163A2" w14:paraId="1C3F2AE9"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7F8F4C2E" w14:textId="050BD63C" w:rsidR="009163A2" w:rsidRPr="00513609" w:rsidRDefault="009163A2" w:rsidP="009163A2">
            <w:pPr>
              <w:pStyle w:val="BodyTextss"/>
              <w:spacing w:after="0"/>
              <w:ind w:left="420" w:hanging="450"/>
            </w:pPr>
            <w:r w:rsidRPr="00513609">
              <w:t>1</w:t>
            </w:r>
            <w:r w:rsidR="00EF766C">
              <w:t>1</w:t>
            </w:r>
            <w:r w:rsidRPr="00513609">
              <w:t>.</w:t>
            </w:r>
            <w:r>
              <w:t xml:space="preserve"> W</w:t>
            </w:r>
            <w:r w:rsidRPr="00513609">
              <w:t xml:space="preserve">astewater Services </w:t>
            </w:r>
          </w:p>
        </w:tc>
        <w:tc>
          <w:tcPr>
            <w:tcW w:w="1510" w:type="dxa"/>
          </w:tcPr>
          <w:p w14:paraId="376A7227" w14:textId="4457032F"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p w14:paraId="09AA1C4F"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5E0CC9E1"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n/a</w:t>
            </w:r>
          </w:p>
          <w:p w14:paraId="2BA9AC02"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tc>
        <w:tc>
          <w:tcPr>
            <w:tcW w:w="3939" w:type="dxa"/>
          </w:tcPr>
          <w:p w14:paraId="27389874" w14:textId="05B8D6ED"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EF766C">
              <w:t>1</w:t>
            </w:r>
            <w:r w:rsidRPr="00513609">
              <w:t>.1</w:t>
            </w:r>
            <w:r w:rsidRPr="00513609">
              <w:tab/>
              <w:t>Treatment plants</w:t>
            </w:r>
          </w:p>
          <w:p w14:paraId="413D57CF" w14:textId="438FA752"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EF766C">
              <w:t>1</w:t>
            </w:r>
            <w:r w:rsidRPr="00513609">
              <w:t>.2</w:t>
            </w:r>
            <w:r w:rsidRPr="00513609">
              <w:tab/>
              <w:t>Sewage trunks</w:t>
            </w:r>
          </w:p>
          <w:p w14:paraId="695E667B" w14:textId="63EC4CDF"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EF766C">
              <w:t>1</w:t>
            </w:r>
            <w:r w:rsidRPr="00513609">
              <w:t>.3</w:t>
            </w:r>
            <w:r w:rsidRPr="00513609">
              <w:tab/>
              <w:t>Local systems</w:t>
            </w:r>
          </w:p>
          <w:p w14:paraId="658E650F" w14:textId="77950765"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EF766C">
              <w:t>1</w:t>
            </w:r>
            <w:r w:rsidRPr="00513609">
              <w:t>.4</w:t>
            </w:r>
            <w:r w:rsidRPr="00513609">
              <w:tab/>
              <w:t>Vehicles and equipment</w:t>
            </w:r>
            <w:r w:rsidRPr="00513609">
              <w:rPr>
                <w:vertAlign w:val="superscript"/>
              </w:rPr>
              <w:t>1</w:t>
            </w:r>
          </w:p>
        </w:tc>
        <w:tc>
          <w:tcPr>
            <w:tcW w:w="1503" w:type="dxa"/>
          </w:tcPr>
          <w:p w14:paraId="22C7CB44"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65CDA8DF"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1DD4638E"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p w14:paraId="77FC11AE"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tc>
      </w:tr>
      <w:tr w:rsidR="009163A2" w14:paraId="302BE5CD"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3E5DF94C" w14:textId="0981DDE5" w:rsidR="009163A2" w:rsidRPr="00513609" w:rsidRDefault="009163A2" w:rsidP="009163A2">
            <w:pPr>
              <w:pStyle w:val="BodyTextss"/>
              <w:spacing w:after="0"/>
              <w:ind w:left="420" w:hanging="450"/>
            </w:pPr>
            <w:r w:rsidRPr="00513609">
              <w:t>1</w:t>
            </w:r>
            <w:r w:rsidR="00EF766C">
              <w:t>2</w:t>
            </w:r>
            <w:r w:rsidRPr="00513609">
              <w:t>.</w:t>
            </w:r>
            <w:r w:rsidRPr="00513609">
              <w:tab/>
              <w:t>Water Supply Services</w:t>
            </w:r>
          </w:p>
        </w:tc>
        <w:tc>
          <w:tcPr>
            <w:tcW w:w="1510" w:type="dxa"/>
          </w:tcPr>
          <w:p w14:paraId="3631AB7B" w14:textId="33179128"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p w14:paraId="2A8C637A"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p w14:paraId="66D11855"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n/a</w:t>
            </w:r>
          </w:p>
          <w:p w14:paraId="7E9F6CFC"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tc>
        <w:tc>
          <w:tcPr>
            <w:tcW w:w="3939" w:type="dxa"/>
          </w:tcPr>
          <w:p w14:paraId="45250645" w14:textId="331FE632"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EF766C">
              <w:t>2</w:t>
            </w:r>
            <w:r w:rsidRPr="00513609">
              <w:t>.1</w:t>
            </w:r>
            <w:r w:rsidRPr="00513609">
              <w:tab/>
              <w:t>Treatment plants</w:t>
            </w:r>
          </w:p>
          <w:p w14:paraId="386E4F52" w14:textId="3EFC0153"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EF766C">
              <w:t>2</w:t>
            </w:r>
            <w:r w:rsidRPr="00513609">
              <w:t>.2</w:t>
            </w:r>
            <w:r w:rsidRPr="00513609">
              <w:tab/>
              <w:t>Distribution systems</w:t>
            </w:r>
          </w:p>
          <w:p w14:paraId="7AE5D6D9" w14:textId="71D566D5"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EF766C">
              <w:t>2</w:t>
            </w:r>
            <w:r w:rsidRPr="00513609">
              <w:t>.3</w:t>
            </w:r>
            <w:r w:rsidRPr="00513609">
              <w:tab/>
              <w:t>Local systems</w:t>
            </w:r>
          </w:p>
          <w:p w14:paraId="5E704FC5" w14:textId="2C347AAC"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EF766C">
              <w:t>2</w:t>
            </w:r>
            <w:r w:rsidRPr="00513609">
              <w:t>.4</w:t>
            </w:r>
            <w:r>
              <w:tab/>
            </w:r>
            <w:r w:rsidRPr="00513609">
              <w:t>Vehicles and equipment</w:t>
            </w:r>
            <w:r w:rsidRPr="00513609">
              <w:rPr>
                <w:vertAlign w:val="superscript"/>
              </w:rPr>
              <w:t>1</w:t>
            </w:r>
          </w:p>
        </w:tc>
        <w:tc>
          <w:tcPr>
            <w:tcW w:w="1503" w:type="dxa"/>
          </w:tcPr>
          <w:p w14:paraId="15B12C09"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48F30539"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2E1C3F23"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p w14:paraId="0CAEFCFB"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100</w:t>
            </w:r>
          </w:p>
        </w:tc>
      </w:tr>
      <w:tr w:rsidR="009163A2" w14:paraId="75FDDE95"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1F1BC14A" w14:textId="6C3BA597" w:rsidR="009163A2" w:rsidRPr="00513609" w:rsidRDefault="009163A2" w:rsidP="009163A2">
            <w:pPr>
              <w:pStyle w:val="BodyTextss"/>
              <w:spacing w:after="0"/>
              <w:ind w:left="420" w:hanging="450"/>
            </w:pPr>
            <w:r w:rsidRPr="00513609">
              <w:t>1</w:t>
            </w:r>
            <w:r w:rsidR="00BD27B0">
              <w:t>3</w:t>
            </w:r>
            <w:r w:rsidRPr="00513609">
              <w:t>.</w:t>
            </w:r>
            <w:r w:rsidRPr="00513609">
              <w:tab/>
              <w:t>Waste Manage</w:t>
            </w:r>
            <w:r>
              <w:t>ment</w:t>
            </w:r>
            <w:r w:rsidRPr="00513609">
              <w:t xml:space="preserve"> Services</w:t>
            </w:r>
          </w:p>
        </w:tc>
        <w:tc>
          <w:tcPr>
            <w:tcW w:w="1510" w:type="dxa"/>
          </w:tcPr>
          <w:p w14:paraId="06D3093B"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Ineligible</w:t>
            </w:r>
          </w:p>
          <w:p w14:paraId="6915CBA3"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043216B1"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Ineligible</w:t>
            </w:r>
          </w:p>
          <w:p w14:paraId="109D3C0D"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7B157797" w14:textId="1EF12913" w:rsidR="009163A2"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p w14:paraId="0199D6E4" w14:textId="5B4C19FC"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3939" w:type="dxa"/>
          </w:tcPr>
          <w:p w14:paraId="05D5A633" w14:textId="5EEE023B"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BD27B0">
              <w:t>3</w:t>
            </w:r>
            <w:r w:rsidRPr="00513609">
              <w:t>.1</w:t>
            </w:r>
            <w:r w:rsidRPr="00513609">
              <w:tab/>
            </w:r>
            <w:r>
              <w:t>Landfill c</w:t>
            </w:r>
            <w:r w:rsidRPr="00513609">
              <w:t>ollection, transfer vehicles and equipment</w:t>
            </w:r>
          </w:p>
          <w:p w14:paraId="70559CEF" w14:textId="6DBF92BD"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BD27B0">
              <w:t>3</w:t>
            </w:r>
            <w:r w:rsidRPr="00513609">
              <w:t xml:space="preserve">.2 </w:t>
            </w:r>
            <w:r>
              <w:tab/>
            </w:r>
            <w:r w:rsidRPr="00513609">
              <w:t>Landfills and other disposal facilities</w:t>
            </w:r>
          </w:p>
          <w:p w14:paraId="1F72812F" w14:textId="21BEB0FC" w:rsidR="009163A2"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BD27B0">
              <w:t>3</w:t>
            </w:r>
            <w:r w:rsidRPr="00513609">
              <w:t>.3</w:t>
            </w:r>
            <w:r w:rsidRPr="00513609">
              <w:tab/>
            </w:r>
            <w:r>
              <w:t>W</w:t>
            </w:r>
            <w:r w:rsidRPr="00513609">
              <w:t>aste diversion facilities</w:t>
            </w:r>
          </w:p>
          <w:p w14:paraId="06D2A226" w14:textId="13FF5CF6"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t>1</w:t>
            </w:r>
            <w:r w:rsidR="00BD27B0">
              <w:t>3</w:t>
            </w:r>
            <w:r>
              <w:t>.4</w:t>
            </w:r>
            <w:r w:rsidRPr="00513609">
              <w:tab/>
            </w:r>
            <w:r>
              <w:t>W</w:t>
            </w:r>
            <w:r w:rsidRPr="00513609">
              <w:t xml:space="preserve">aste diversion </w:t>
            </w:r>
            <w:r>
              <w:t>vehicles and equipment</w:t>
            </w:r>
            <w:r w:rsidRPr="00513609">
              <w:rPr>
                <w:vertAlign w:val="superscript"/>
              </w:rPr>
              <w:t>1</w:t>
            </w:r>
          </w:p>
        </w:tc>
        <w:tc>
          <w:tcPr>
            <w:tcW w:w="1503" w:type="dxa"/>
          </w:tcPr>
          <w:p w14:paraId="656F2DF5"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p w14:paraId="7542FF32" w14:textId="77777777" w:rsidR="00C554EF" w:rsidRDefault="00C554EF"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26451049"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p w14:paraId="6A776D80" w14:textId="77777777" w:rsidR="003633CA" w:rsidRDefault="003633CA"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428E8262" w14:textId="67595DFC" w:rsidR="009163A2"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7E614E18" w14:textId="6D5B84F6"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t>0</w:t>
            </w:r>
          </w:p>
        </w:tc>
      </w:tr>
      <w:tr w:rsidR="009163A2" w14:paraId="53BAEFD1"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275101AD" w14:textId="38EDBA21" w:rsidR="009163A2" w:rsidRPr="00513609" w:rsidRDefault="009163A2" w:rsidP="009163A2">
            <w:pPr>
              <w:pStyle w:val="BodyTextss"/>
              <w:spacing w:after="0"/>
              <w:ind w:left="420" w:hanging="450"/>
            </w:pPr>
            <w:r w:rsidRPr="00513609">
              <w:t>1</w:t>
            </w:r>
            <w:r w:rsidR="00BD27B0">
              <w:t>4</w:t>
            </w:r>
            <w:r w:rsidRPr="00513609">
              <w:t>.</w:t>
            </w:r>
            <w:r w:rsidRPr="00513609">
              <w:tab/>
            </w:r>
            <w:r w:rsidR="00347BE5">
              <w:t>Policing</w:t>
            </w:r>
            <w:r w:rsidR="003762F7">
              <w:t xml:space="preserve"> Services</w:t>
            </w:r>
          </w:p>
        </w:tc>
        <w:tc>
          <w:tcPr>
            <w:tcW w:w="1510" w:type="dxa"/>
          </w:tcPr>
          <w:p w14:paraId="69BA13F3" w14:textId="7C140D31"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p w14:paraId="229C43C5" w14:textId="3A1CE5DC"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p w14:paraId="5FE0A505" w14:textId="1288C47D"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3939" w:type="dxa"/>
          </w:tcPr>
          <w:p w14:paraId="4827A375" w14:textId="0E3A5126"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BD27B0">
              <w:t>4</w:t>
            </w:r>
            <w:r w:rsidRPr="00513609">
              <w:t>.1</w:t>
            </w:r>
            <w:r w:rsidRPr="00513609">
              <w:tab/>
            </w:r>
            <w:r w:rsidR="00347BE5">
              <w:t>Policing</w:t>
            </w:r>
            <w:r w:rsidRPr="00513609">
              <w:t xml:space="preserve"> detachments</w:t>
            </w:r>
          </w:p>
          <w:p w14:paraId="33B695E6" w14:textId="572C655E"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BD27B0">
              <w:t>4</w:t>
            </w:r>
            <w:r w:rsidRPr="00513609">
              <w:t>.2</w:t>
            </w:r>
            <w:r w:rsidRPr="00513609">
              <w:tab/>
            </w:r>
            <w:r w:rsidR="00347BE5">
              <w:t>Policing</w:t>
            </w:r>
            <w:r w:rsidRPr="00513609">
              <w:t xml:space="preserve"> rolling stock</w:t>
            </w:r>
            <w:r>
              <w:rPr>
                <w:rStyle w:val="FootnoteReference"/>
              </w:rPr>
              <w:footnoteReference w:id="10"/>
            </w:r>
          </w:p>
          <w:p w14:paraId="7EA15C96" w14:textId="070A19C6"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BD27B0">
              <w:t>4</w:t>
            </w:r>
            <w:r w:rsidRPr="00513609">
              <w:t>.3</w:t>
            </w:r>
            <w:r w:rsidRPr="00513609">
              <w:tab/>
            </w:r>
            <w:r>
              <w:t>S</w:t>
            </w:r>
            <w:r w:rsidRPr="00513609">
              <w:t>mall equipment and gear</w:t>
            </w:r>
          </w:p>
        </w:tc>
        <w:tc>
          <w:tcPr>
            <w:tcW w:w="1503" w:type="dxa"/>
          </w:tcPr>
          <w:p w14:paraId="0F69E400"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6C5C9110"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p w14:paraId="36361470"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100</w:t>
            </w:r>
          </w:p>
        </w:tc>
      </w:tr>
      <w:tr w:rsidR="009163A2" w14:paraId="17524677"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458F0AAE" w14:textId="68C66B61" w:rsidR="009163A2" w:rsidRPr="00513609" w:rsidRDefault="009163A2" w:rsidP="009163A2">
            <w:pPr>
              <w:pStyle w:val="BodyTextss"/>
              <w:spacing w:after="0"/>
              <w:ind w:left="420" w:hanging="450"/>
            </w:pPr>
            <w:r w:rsidRPr="00513609">
              <w:t>1</w:t>
            </w:r>
            <w:r w:rsidR="00BD27B0">
              <w:t>5</w:t>
            </w:r>
            <w:r w:rsidRPr="00513609">
              <w:t>.</w:t>
            </w:r>
            <w:r w:rsidRPr="00513609">
              <w:tab/>
              <w:t>Homes for the Aged</w:t>
            </w:r>
          </w:p>
        </w:tc>
        <w:tc>
          <w:tcPr>
            <w:tcW w:w="1510" w:type="dxa"/>
          </w:tcPr>
          <w:p w14:paraId="1B998251" w14:textId="7F7077CB" w:rsidR="009163A2"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No</w:t>
            </w:r>
          </w:p>
          <w:p w14:paraId="6B290D61"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No</w:t>
            </w:r>
          </w:p>
        </w:tc>
        <w:tc>
          <w:tcPr>
            <w:tcW w:w="3939" w:type="dxa"/>
          </w:tcPr>
          <w:p w14:paraId="20F325AC" w14:textId="1C7D73EC" w:rsidR="009163A2"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BD27B0">
              <w:t>5</w:t>
            </w:r>
            <w:r w:rsidRPr="00513609">
              <w:t>.1</w:t>
            </w:r>
            <w:r w:rsidRPr="00513609">
              <w:tab/>
              <w:t>Homes for the aged space</w:t>
            </w:r>
          </w:p>
          <w:p w14:paraId="2AF8EC76" w14:textId="66B3EA15"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t>1</w:t>
            </w:r>
            <w:r w:rsidR="00BD27B0">
              <w:t>5</w:t>
            </w:r>
            <w:r>
              <w:t>.2</w:t>
            </w:r>
            <w:r>
              <w:tab/>
              <w:t>Vehicles</w:t>
            </w:r>
            <w:r w:rsidRPr="00513609">
              <w:rPr>
                <w:vertAlign w:val="superscript"/>
              </w:rPr>
              <w:t>1</w:t>
            </w:r>
          </w:p>
        </w:tc>
        <w:tc>
          <w:tcPr>
            <w:tcW w:w="1503" w:type="dxa"/>
          </w:tcPr>
          <w:p w14:paraId="2A942E74" w14:textId="3118C278" w:rsidR="009163A2"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11C6EBD7" w14:textId="1A11E722"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t>0</w:t>
            </w:r>
          </w:p>
        </w:tc>
      </w:tr>
      <w:tr w:rsidR="009163A2" w14:paraId="32D76F24"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4A65EEEA" w14:textId="5E7C56DD" w:rsidR="009163A2" w:rsidRPr="00513609" w:rsidRDefault="009163A2" w:rsidP="009163A2">
            <w:pPr>
              <w:pStyle w:val="BodyTextss"/>
              <w:spacing w:after="0"/>
              <w:ind w:left="420" w:hanging="450"/>
            </w:pPr>
            <w:r w:rsidRPr="00513609">
              <w:t>1</w:t>
            </w:r>
            <w:r w:rsidR="00BD27B0">
              <w:t>6</w:t>
            </w:r>
            <w:r w:rsidRPr="00513609">
              <w:t>.</w:t>
            </w:r>
            <w:r w:rsidRPr="00513609">
              <w:tab/>
              <w:t>Child Care</w:t>
            </w:r>
          </w:p>
        </w:tc>
        <w:tc>
          <w:tcPr>
            <w:tcW w:w="1510" w:type="dxa"/>
          </w:tcPr>
          <w:p w14:paraId="438B5CE0" w14:textId="329F5771" w:rsidR="009163A2"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p w14:paraId="5476DD5B" w14:textId="00C6BB40"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3939" w:type="dxa"/>
          </w:tcPr>
          <w:p w14:paraId="6F16E00C" w14:textId="77BA015B" w:rsidR="009163A2"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BD27B0">
              <w:t>6</w:t>
            </w:r>
            <w:r w:rsidRPr="00513609">
              <w:t>.1</w:t>
            </w:r>
            <w:r w:rsidRPr="00513609">
              <w:tab/>
              <w:t>Child care space</w:t>
            </w:r>
          </w:p>
          <w:p w14:paraId="5B9E0D17" w14:textId="79F4A523"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t>1</w:t>
            </w:r>
            <w:r w:rsidR="00BD27B0">
              <w:t>6</w:t>
            </w:r>
            <w:r>
              <w:t>.2</w:t>
            </w:r>
            <w:r>
              <w:tab/>
              <w:t>Vehicles</w:t>
            </w:r>
            <w:r w:rsidRPr="00513609">
              <w:rPr>
                <w:vertAlign w:val="superscript"/>
              </w:rPr>
              <w:t>1</w:t>
            </w:r>
          </w:p>
        </w:tc>
        <w:tc>
          <w:tcPr>
            <w:tcW w:w="1503" w:type="dxa"/>
          </w:tcPr>
          <w:p w14:paraId="59691860" w14:textId="523A380B" w:rsidR="009163A2"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2FD8FFBB" w14:textId="37F99C05"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t>0</w:t>
            </w:r>
          </w:p>
        </w:tc>
      </w:tr>
      <w:tr w:rsidR="009163A2" w14:paraId="4CEF92A7"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0DCF997D" w14:textId="5FB52372" w:rsidR="009163A2" w:rsidRPr="00513609" w:rsidRDefault="009163A2" w:rsidP="009163A2">
            <w:pPr>
              <w:pStyle w:val="BodyTextss"/>
              <w:spacing w:after="0"/>
              <w:ind w:left="420" w:hanging="450"/>
            </w:pPr>
            <w:r w:rsidRPr="00513609">
              <w:t>1</w:t>
            </w:r>
            <w:r w:rsidR="00BD27B0">
              <w:t>7</w:t>
            </w:r>
            <w:r w:rsidRPr="00513609">
              <w:t>.</w:t>
            </w:r>
            <w:r w:rsidRPr="00513609">
              <w:tab/>
              <w:t>Health</w:t>
            </w:r>
          </w:p>
        </w:tc>
        <w:tc>
          <w:tcPr>
            <w:tcW w:w="1510" w:type="dxa"/>
          </w:tcPr>
          <w:p w14:paraId="704008FA" w14:textId="0D46ED30"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p w14:paraId="63A56457" w14:textId="1699814C"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3939" w:type="dxa"/>
          </w:tcPr>
          <w:p w14:paraId="5B0751D1" w14:textId="66E6D619"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BD27B0">
              <w:t>7</w:t>
            </w:r>
            <w:r w:rsidRPr="00513609">
              <w:t>.1</w:t>
            </w:r>
            <w:r w:rsidRPr="00513609">
              <w:tab/>
              <w:t>Health department space</w:t>
            </w:r>
          </w:p>
          <w:p w14:paraId="42DAB490" w14:textId="4A8A304F"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BD27B0">
              <w:t>7</w:t>
            </w:r>
            <w:r w:rsidRPr="00513609">
              <w:t xml:space="preserve">.2 </w:t>
            </w:r>
            <w:r>
              <w:tab/>
            </w:r>
            <w:r w:rsidRPr="00513609">
              <w:t>Health department vehicles¹</w:t>
            </w:r>
          </w:p>
        </w:tc>
        <w:tc>
          <w:tcPr>
            <w:tcW w:w="1503" w:type="dxa"/>
          </w:tcPr>
          <w:p w14:paraId="5B4DD8E5" w14:textId="5ECEB6DF"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5486A833" w14:textId="781E1062"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tc>
      </w:tr>
      <w:tr w:rsidR="009163A2" w14:paraId="112F3EB0"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1DDA009D" w14:textId="781DCBD4" w:rsidR="009163A2" w:rsidRPr="00513609" w:rsidRDefault="009163A2" w:rsidP="009163A2">
            <w:pPr>
              <w:pStyle w:val="BodyTextss"/>
              <w:spacing w:after="0"/>
              <w:ind w:left="420" w:hanging="450"/>
            </w:pPr>
            <w:r>
              <w:t>1</w:t>
            </w:r>
            <w:r w:rsidR="00BD27B0">
              <w:t>8</w:t>
            </w:r>
            <w:r>
              <w:t xml:space="preserve">. </w:t>
            </w:r>
            <w:r w:rsidRPr="00513609">
              <w:t>Social Housing</w:t>
            </w:r>
          </w:p>
        </w:tc>
        <w:tc>
          <w:tcPr>
            <w:tcW w:w="1510" w:type="dxa"/>
          </w:tcPr>
          <w:p w14:paraId="4F5648BF" w14:textId="3BD09F22"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Ineligible</w:t>
            </w:r>
          </w:p>
        </w:tc>
        <w:tc>
          <w:tcPr>
            <w:tcW w:w="3939" w:type="dxa"/>
          </w:tcPr>
          <w:p w14:paraId="3C31ACB1" w14:textId="62BA8B70"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BD27B0">
              <w:t>8</w:t>
            </w:r>
            <w:r w:rsidRPr="00513609">
              <w:t xml:space="preserve">.1 </w:t>
            </w:r>
            <w:r>
              <w:tab/>
            </w:r>
            <w:r w:rsidRPr="00513609">
              <w:t xml:space="preserve">Social </w:t>
            </w:r>
            <w:r w:rsidR="003762F7">
              <w:t>h</w:t>
            </w:r>
            <w:r w:rsidRPr="00513609">
              <w:t>ousing space</w:t>
            </w:r>
          </w:p>
        </w:tc>
        <w:tc>
          <w:tcPr>
            <w:tcW w:w="1503" w:type="dxa"/>
          </w:tcPr>
          <w:p w14:paraId="58BACBF4" w14:textId="6B08BD7D"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tc>
      </w:tr>
      <w:tr w:rsidR="009163A2" w14:paraId="5E21A666"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5C84A0C1" w14:textId="4E011E77" w:rsidR="009163A2" w:rsidRDefault="009163A2" w:rsidP="009163A2">
            <w:pPr>
              <w:pStyle w:val="BodyTextss"/>
              <w:spacing w:after="0"/>
              <w:ind w:left="420" w:hanging="450"/>
            </w:pPr>
            <w:r>
              <w:t>1</w:t>
            </w:r>
            <w:r w:rsidR="00BD27B0">
              <w:t>9</w:t>
            </w:r>
            <w:r>
              <w:t xml:space="preserve">. </w:t>
            </w:r>
            <w:r w:rsidRPr="00513609">
              <w:t>Provincial Offences</w:t>
            </w:r>
            <w:r>
              <w:t xml:space="preserve"> </w:t>
            </w:r>
            <w:r w:rsidRPr="00513609">
              <w:t>Act (</w:t>
            </w:r>
            <w:r>
              <w:t>P.O.A.</w:t>
            </w:r>
            <w:r w:rsidRPr="00513609">
              <w:t>)</w:t>
            </w:r>
          </w:p>
        </w:tc>
        <w:tc>
          <w:tcPr>
            <w:tcW w:w="1510" w:type="dxa"/>
          </w:tcPr>
          <w:p w14:paraId="6717FC81" w14:textId="775CA431"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3939" w:type="dxa"/>
          </w:tcPr>
          <w:p w14:paraId="1E3ECC63" w14:textId="75279CE0"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1</w:t>
            </w:r>
            <w:r w:rsidR="00BD27B0">
              <w:t>9</w:t>
            </w:r>
            <w:r w:rsidRPr="00513609">
              <w:t xml:space="preserve">.1 </w:t>
            </w:r>
            <w:r>
              <w:tab/>
              <w:t>P.O.A.</w:t>
            </w:r>
            <w:r w:rsidRPr="00513609">
              <w:t xml:space="preserve"> space</w:t>
            </w:r>
          </w:p>
        </w:tc>
        <w:tc>
          <w:tcPr>
            <w:tcW w:w="1503" w:type="dxa"/>
          </w:tcPr>
          <w:p w14:paraId="6A33BE8A" w14:textId="53A35A98"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tc>
      </w:tr>
      <w:tr w:rsidR="009163A2" w14:paraId="11267407"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4BF970F8" w14:textId="49802E93" w:rsidR="009163A2" w:rsidRDefault="00BD27B0" w:rsidP="009163A2">
            <w:pPr>
              <w:pStyle w:val="BodyTextss"/>
              <w:spacing w:after="0"/>
              <w:ind w:left="420" w:hanging="450"/>
            </w:pPr>
            <w:r>
              <w:t>20</w:t>
            </w:r>
            <w:r w:rsidR="009163A2" w:rsidRPr="00513609">
              <w:t>.</w:t>
            </w:r>
            <w:r w:rsidR="009163A2" w:rsidRPr="00513609">
              <w:tab/>
              <w:t>Social Services</w:t>
            </w:r>
          </w:p>
        </w:tc>
        <w:tc>
          <w:tcPr>
            <w:tcW w:w="1510" w:type="dxa"/>
          </w:tcPr>
          <w:p w14:paraId="3B6FB2BC" w14:textId="20E4D88B"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Ineligible</w:t>
            </w:r>
          </w:p>
        </w:tc>
        <w:tc>
          <w:tcPr>
            <w:tcW w:w="3939" w:type="dxa"/>
          </w:tcPr>
          <w:p w14:paraId="4728AB91" w14:textId="23E812CD" w:rsidR="009163A2" w:rsidRPr="00513609" w:rsidRDefault="00BD27B0"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t>20</w:t>
            </w:r>
            <w:r w:rsidR="009163A2" w:rsidRPr="00513609">
              <w:t>.1</w:t>
            </w:r>
            <w:r w:rsidR="009163A2" w:rsidRPr="00513609">
              <w:tab/>
              <w:t>Social service space</w:t>
            </w:r>
          </w:p>
        </w:tc>
        <w:tc>
          <w:tcPr>
            <w:tcW w:w="1503" w:type="dxa"/>
          </w:tcPr>
          <w:p w14:paraId="7E4AA846" w14:textId="5329533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tc>
      </w:tr>
      <w:tr w:rsidR="009163A2" w14:paraId="6E108CD1"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0B3DE7EB" w14:textId="606A7C2C" w:rsidR="009163A2" w:rsidRPr="00513609" w:rsidRDefault="009163A2" w:rsidP="009163A2">
            <w:pPr>
              <w:pStyle w:val="BodyTextss"/>
              <w:spacing w:after="0"/>
              <w:ind w:left="420" w:hanging="450"/>
            </w:pPr>
            <w:r w:rsidRPr="00513609">
              <w:t>2</w:t>
            </w:r>
            <w:r w:rsidR="00BD27B0">
              <w:t>1</w:t>
            </w:r>
            <w:r w:rsidRPr="00513609">
              <w:t>.</w:t>
            </w:r>
            <w:r w:rsidRPr="00513609">
              <w:tab/>
              <w:t>Ambulance</w:t>
            </w:r>
          </w:p>
        </w:tc>
        <w:tc>
          <w:tcPr>
            <w:tcW w:w="1510" w:type="dxa"/>
          </w:tcPr>
          <w:p w14:paraId="60F6DEC3" w14:textId="0A5404FF"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p w14:paraId="79CCC81C" w14:textId="597ECFF2" w:rsidR="009163A2" w:rsidRPr="00513609"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n/a</w:t>
            </w:r>
          </w:p>
        </w:tc>
        <w:tc>
          <w:tcPr>
            <w:tcW w:w="3939" w:type="dxa"/>
          </w:tcPr>
          <w:p w14:paraId="4025E23E" w14:textId="2B23C290"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w:t>
            </w:r>
            <w:r w:rsidR="00BD27B0">
              <w:t>1</w:t>
            </w:r>
            <w:r w:rsidRPr="00513609">
              <w:t>.1</w:t>
            </w:r>
            <w:r w:rsidRPr="00513609">
              <w:tab/>
              <w:t>Ambulance station space</w:t>
            </w:r>
          </w:p>
          <w:p w14:paraId="086538F9" w14:textId="16B46C27"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w:t>
            </w:r>
            <w:r w:rsidR="00BD27B0">
              <w:t>1</w:t>
            </w:r>
            <w:r w:rsidRPr="00513609">
              <w:t>.2</w:t>
            </w:r>
            <w:r w:rsidRPr="00513609">
              <w:tab/>
              <w:t>Vehicles</w:t>
            </w:r>
            <w:r w:rsidRPr="00513609">
              <w:rPr>
                <w:vertAlign w:val="superscript"/>
              </w:rPr>
              <w:t>1</w:t>
            </w:r>
          </w:p>
        </w:tc>
        <w:tc>
          <w:tcPr>
            <w:tcW w:w="1503" w:type="dxa"/>
          </w:tcPr>
          <w:p w14:paraId="2E4750C5" w14:textId="0734405D"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p w14:paraId="00F264C5" w14:textId="5CFEAB72" w:rsidR="009163A2" w:rsidRPr="00513609" w:rsidRDefault="00EF766C"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10</w:t>
            </w:r>
            <w:r w:rsidR="009163A2" w:rsidRPr="00513609">
              <w:t>0</w:t>
            </w:r>
          </w:p>
        </w:tc>
      </w:tr>
      <w:tr w:rsidR="009163A2" w14:paraId="38BE62E6"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0BF71110" w14:textId="1D7BADB7" w:rsidR="009163A2" w:rsidRPr="00513609" w:rsidRDefault="009163A2" w:rsidP="009163A2">
            <w:pPr>
              <w:pStyle w:val="BodyTextss"/>
              <w:spacing w:after="0"/>
              <w:ind w:left="420" w:hanging="450"/>
            </w:pPr>
            <w:r w:rsidRPr="00513609">
              <w:t>2</w:t>
            </w:r>
            <w:r w:rsidR="00BD27B0">
              <w:t>2</w:t>
            </w:r>
            <w:r w:rsidRPr="00513609">
              <w:t>.</w:t>
            </w:r>
            <w:r w:rsidRPr="00513609">
              <w:tab/>
              <w:t>Hospital Provision</w:t>
            </w:r>
          </w:p>
        </w:tc>
        <w:tc>
          <w:tcPr>
            <w:tcW w:w="1510" w:type="dxa"/>
          </w:tcPr>
          <w:p w14:paraId="20563774"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Ineligible</w:t>
            </w:r>
          </w:p>
        </w:tc>
        <w:tc>
          <w:tcPr>
            <w:tcW w:w="3939" w:type="dxa"/>
          </w:tcPr>
          <w:p w14:paraId="269A302A" w14:textId="77380965"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w:t>
            </w:r>
            <w:r w:rsidR="00BD27B0">
              <w:t>2</w:t>
            </w:r>
            <w:r w:rsidRPr="00513609">
              <w:t>.1</w:t>
            </w:r>
            <w:r w:rsidRPr="00513609">
              <w:tab/>
              <w:t>Hospital capital contributions</w:t>
            </w:r>
          </w:p>
        </w:tc>
        <w:tc>
          <w:tcPr>
            <w:tcW w:w="1503" w:type="dxa"/>
          </w:tcPr>
          <w:p w14:paraId="043678A1"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0</w:t>
            </w:r>
          </w:p>
        </w:tc>
      </w:tr>
      <w:tr w:rsidR="009163A2" w14:paraId="4EBB66DB"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7AE4E40C" w14:textId="5017E4F5" w:rsidR="009163A2" w:rsidRPr="00513609" w:rsidRDefault="009163A2" w:rsidP="009163A2">
            <w:pPr>
              <w:pStyle w:val="BodyTextss"/>
              <w:spacing w:after="0"/>
              <w:ind w:left="420" w:hanging="450"/>
            </w:pPr>
            <w:r w:rsidRPr="00513609">
              <w:t>2</w:t>
            </w:r>
            <w:r w:rsidR="00BD27B0">
              <w:t>3</w:t>
            </w:r>
            <w:r w:rsidRPr="00513609">
              <w:t>.</w:t>
            </w:r>
            <w:r w:rsidRPr="00513609">
              <w:tab/>
              <w:t>Provision of Headquarters for the General Admin</w:t>
            </w:r>
            <w:r>
              <w:t>i</w:t>
            </w:r>
            <w:r w:rsidRPr="00513609">
              <w:t>stration of Municipalities and Area Municipal Boards</w:t>
            </w:r>
          </w:p>
        </w:tc>
        <w:tc>
          <w:tcPr>
            <w:tcW w:w="1510" w:type="dxa"/>
          </w:tcPr>
          <w:p w14:paraId="3A0DA00A"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Ineligible</w:t>
            </w:r>
          </w:p>
          <w:p w14:paraId="37C166E4"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Ineligible</w:t>
            </w:r>
          </w:p>
          <w:p w14:paraId="119508B4"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Ineligible</w:t>
            </w:r>
          </w:p>
        </w:tc>
        <w:tc>
          <w:tcPr>
            <w:tcW w:w="3939" w:type="dxa"/>
          </w:tcPr>
          <w:p w14:paraId="1D7BACFF" w14:textId="7B50D0DE"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w:t>
            </w:r>
            <w:r w:rsidR="00BD27B0">
              <w:t>3</w:t>
            </w:r>
            <w:r w:rsidRPr="00513609">
              <w:t>.1</w:t>
            </w:r>
            <w:r w:rsidRPr="00513609">
              <w:tab/>
              <w:t xml:space="preserve">Office space </w:t>
            </w:r>
          </w:p>
          <w:p w14:paraId="2CA870AE" w14:textId="04FDA22F"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w:t>
            </w:r>
            <w:r w:rsidR="00BD27B0">
              <w:t>3</w:t>
            </w:r>
            <w:r w:rsidRPr="00513609">
              <w:t>.2</w:t>
            </w:r>
            <w:r w:rsidRPr="00513609">
              <w:tab/>
              <w:t>Office furniture</w:t>
            </w:r>
          </w:p>
          <w:p w14:paraId="54F785F9" w14:textId="6B14B5D0"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w:t>
            </w:r>
            <w:r w:rsidR="00BD27B0">
              <w:t>3</w:t>
            </w:r>
            <w:r w:rsidRPr="00513609">
              <w:t>.3</w:t>
            </w:r>
            <w:r w:rsidRPr="00513609">
              <w:tab/>
              <w:t>Computer equipment</w:t>
            </w:r>
          </w:p>
          <w:p w14:paraId="36DB753A" w14:textId="77777777"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p>
        </w:tc>
        <w:tc>
          <w:tcPr>
            <w:tcW w:w="1503" w:type="dxa"/>
          </w:tcPr>
          <w:p w14:paraId="1C2D0EC2"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p w14:paraId="079BF668" w14:textId="7777777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p w14:paraId="0548A3AA"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0</w:t>
            </w:r>
          </w:p>
        </w:tc>
      </w:tr>
      <w:tr w:rsidR="009163A2" w14:paraId="250F2AD1" w14:textId="77777777" w:rsidTr="00CF5FA9">
        <w:trPr>
          <w:cantSplit/>
        </w:trPr>
        <w:tc>
          <w:tcPr>
            <w:cnfStyle w:val="001000000000" w:firstRow="0" w:lastRow="0" w:firstColumn="1" w:lastColumn="0" w:oddVBand="0" w:evenVBand="0" w:oddHBand="0" w:evenHBand="0" w:firstRowFirstColumn="0" w:firstRowLastColumn="0" w:lastRowFirstColumn="0" w:lastRowLastColumn="0"/>
            <w:tcW w:w="2398" w:type="dxa"/>
          </w:tcPr>
          <w:p w14:paraId="0665BEF2" w14:textId="6D7B6F67" w:rsidR="009163A2" w:rsidRPr="00513609" w:rsidRDefault="009163A2" w:rsidP="009163A2">
            <w:pPr>
              <w:pStyle w:val="BodyTextss"/>
              <w:spacing w:after="0"/>
              <w:ind w:left="420" w:hanging="450"/>
            </w:pPr>
            <w:r w:rsidRPr="00513609">
              <w:t>2</w:t>
            </w:r>
            <w:r w:rsidR="00BD27B0">
              <w:t>4</w:t>
            </w:r>
            <w:r w:rsidRPr="00513609">
              <w:t>.</w:t>
            </w:r>
            <w:r w:rsidRPr="00513609">
              <w:tab/>
              <w:t>Other Services</w:t>
            </w:r>
          </w:p>
        </w:tc>
        <w:tc>
          <w:tcPr>
            <w:tcW w:w="1510" w:type="dxa"/>
          </w:tcPr>
          <w:p w14:paraId="085B0629" w14:textId="020B9987" w:rsidR="009163A2"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t>Ineligible</w:t>
            </w:r>
          </w:p>
          <w:p w14:paraId="270807DF" w14:textId="77777777" w:rsidR="009163A2"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7DB769C0" w14:textId="77777777" w:rsidR="00BD27B0"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20536DB3" w14:textId="77777777" w:rsidR="00BD27B0"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278C5C0C" w14:textId="77777777" w:rsidR="00BD27B0"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68261A01" w14:textId="77777777" w:rsidR="00BD27B0"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2FB263F6" w14:textId="77777777" w:rsidR="00BD27B0" w:rsidRDefault="00BD27B0"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p>
          <w:p w14:paraId="7A22B998" w14:textId="530723E7" w:rsidR="009163A2" w:rsidRPr="00513609" w:rsidRDefault="009163A2" w:rsidP="009163A2">
            <w:pPr>
              <w:pStyle w:val="BodyTextss"/>
              <w:spacing w:after="0"/>
              <w:jc w:val="center"/>
              <w:cnfStyle w:val="000000000000" w:firstRow="0" w:lastRow="0" w:firstColumn="0" w:lastColumn="0" w:oddVBand="0" w:evenVBand="0" w:oddHBand="0" w:evenHBand="0" w:firstRowFirstColumn="0" w:firstRowLastColumn="0" w:lastRowFirstColumn="0" w:lastRowLastColumn="0"/>
            </w:pPr>
            <w:r w:rsidRPr="00513609">
              <w:t>Yes</w:t>
            </w:r>
          </w:p>
        </w:tc>
        <w:tc>
          <w:tcPr>
            <w:tcW w:w="3939" w:type="dxa"/>
          </w:tcPr>
          <w:p w14:paraId="2136F647" w14:textId="12EA5571"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w:t>
            </w:r>
            <w:r w:rsidR="00BD27B0">
              <w:t>4</w:t>
            </w:r>
            <w:r w:rsidRPr="00513609">
              <w:t>.1</w:t>
            </w:r>
            <w:r w:rsidRPr="00513609">
              <w:tab/>
              <w:t>Studies in connection with acquiring</w:t>
            </w:r>
            <w:r>
              <w:t xml:space="preserve"> </w:t>
            </w:r>
            <w:r w:rsidRPr="00513609">
              <w:t>buildings, rolling stock, materials and</w:t>
            </w:r>
            <w:r>
              <w:t xml:space="preserve"> </w:t>
            </w:r>
            <w:r w:rsidRPr="00513609">
              <w:t>equipment, and improving land</w:t>
            </w:r>
            <w:r w:rsidRPr="00513609">
              <w:rPr>
                <w:vertAlign w:val="superscript"/>
              </w:rPr>
              <w:t>2</w:t>
            </w:r>
            <w:r w:rsidRPr="00513609">
              <w:t xml:space="preserve"> and</w:t>
            </w:r>
            <w:r>
              <w:t xml:space="preserve"> </w:t>
            </w:r>
            <w:r w:rsidRPr="00513609">
              <w:t xml:space="preserve">facilities, including the </w:t>
            </w:r>
            <w:r>
              <w:t>D.C.</w:t>
            </w:r>
            <w:r w:rsidRPr="00513609">
              <w:t xml:space="preserve"> background study cost </w:t>
            </w:r>
          </w:p>
          <w:p w14:paraId="5492D796" w14:textId="23972239" w:rsidR="009163A2" w:rsidRPr="00513609" w:rsidRDefault="009163A2" w:rsidP="00674587">
            <w:pPr>
              <w:pStyle w:val="BodyTextss"/>
              <w:tabs>
                <w:tab w:val="left" w:pos="533"/>
                <w:tab w:val="left" w:pos="691"/>
              </w:tabs>
              <w:spacing w:after="0"/>
              <w:ind w:left="537" w:hanging="537"/>
              <w:cnfStyle w:val="000000000000" w:firstRow="0" w:lastRow="0" w:firstColumn="0" w:lastColumn="0" w:oddVBand="0" w:evenVBand="0" w:oddHBand="0" w:evenHBand="0" w:firstRowFirstColumn="0" w:firstRowLastColumn="0" w:lastRowFirstColumn="0" w:lastRowLastColumn="0"/>
            </w:pPr>
            <w:r w:rsidRPr="00513609">
              <w:t>2</w:t>
            </w:r>
            <w:r w:rsidR="00BD27B0">
              <w:t>4</w:t>
            </w:r>
            <w:r w:rsidRPr="00513609">
              <w:t>.2</w:t>
            </w:r>
            <w:r w:rsidRPr="00513609">
              <w:tab/>
              <w:t>Interest on money borrowed to pay</w:t>
            </w:r>
            <w:r>
              <w:t xml:space="preserve"> </w:t>
            </w:r>
            <w:r w:rsidRPr="00513609">
              <w:t>for growth-related capital</w:t>
            </w:r>
          </w:p>
        </w:tc>
        <w:tc>
          <w:tcPr>
            <w:tcW w:w="1503" w:type="dxa"/>
          </w:tcPr>
          <w:p w14:paraId="20656E82" w14:textId="182C6F64" w:rsidR="009163A2" w:rsidRDefault="009163A2" w:rsidP="003633CA">
            <w:pPr>
              <w:pStyle w:val="BodyTextss"/>
              <w:spacing w:after="1800"/>
              <w:jc w:val="center"/>
              <w:cnfStyle w:val="000000000000" w:firstRow="0" w:lastRow="0" w:firstColumn="0" w:lastColumn="0" w:oddVBand="0" w:evenVBand="0" w:oddHBand="0" w:evenHBand="0" w:firstRowFirstColumn="0" w:firstRowLastColumn="0" w:lastRowFirstColumn="0" w:lastRowLastColumn="0"/>
            </w:pPr>
            <w:r w:rsidRPr="00513609">
              <w:t>0</w:t>
            </w:r>
          </w:p>
          <w:p w14:paraId="6E4D42F9" w14:textId="77777777" w:rsidR="009163A2" w:rsidRPr="00513609" w:rsidRDefault="009163A2" w:rsidP="003762F7">
            <w:pPr>
              <w:pStyle w:val="BodyTextss"/>
              <w:spacing w:before="480" w:after="0"/>
              <w:jc w:val="center"/>
              <w:cnfStyle w:val="000000000000" w:firstRow="0" w:lastRow="0" w:firstColumn="0" w:lastColumn="0" w:oddVBand="0" w:evenVBand="0" w:oddHBand="0" w:evenHBand="0" w:firstRowFirstColumn="0" w:firstRowLastColumn="0" w:lastRowFirstColumn="0" w:lastRowLastColumn="0"/>
            </w:pPr>
            <w:r w:rsidRPr="00513609">
              <w:t>0-100</w:t>
            </w:r>
          </w:p>
        </w:tc>
      </w:tr>
    </w:tbl>
    <w:p w14:paraId="51EA5E2E" w14:textId="77777777" w:rsidR="00B91466" w:rsidRPr="003866F7" w:rsidRDefault="00B91466" w:rsidP="007E0F95">
      <w:pPr>
        <w:pStyle w:val="BodyTextss"/>
        <w:spacing w:before="120" w:after="0"/>
      </w:pPr>
      <w:r w:rsidRPr="003866F7">
        <w:rPr>
          <w:vertAlign w:val="superscript"/>
        </w:rPr>
        <w:t>1</w:t>
      </w:r>
      <w:r w:rsidRPr="003866F7">
        <w:t>with a 7+ year life</w:t>
      </w:r>
      <w:r w:rsidR="00067456">
        <w:t>-</w:t>
      </w:r>
      <w:r w:rsidRPr="003866F7">
        <w:t>time</w:t>
      </w:r>
    </w:p>
    <w:p w14:paraId="272BE4C7" w14:textId="77777777" w:rsidR="00B91466" w:rsidRDefault="00B91466" w:rsidP="007E0F95">
      <w:pPr>
        <w:pStyle w:val="BodyTextss"/>
        <w:spacing w:after="480"/>
      </w:pPr>
      <w:r w:rsidRPr="003866F7">
        <w:rPr>
          <w:vertAlign w:val="superscript"/>
        </w:rPr>
        <w:t>2</w:t>
      </w:r>
      <w:r w:rsidRPr="003866F7">
        <w:t>same percentage as service component to which it pertains</w:t>
      </w:r>
    </w:p>
    <w:p w14:paraId="59F46681" w14:textId="77777777" w:rsidR="002C7897" w:rsidRPr="00982558" w:rsidRDefault="002C7897" w:rsidP="00B16524">
      <w:pPr>
        <w:pStyle w:val="Heading2"/>
        <w:numPr>
          <w:ilvl w:val="1"/>
          <w:numId w:val="3"/>
        </w:numPr>
        <w:rPr>
          <w:szCs w:val="23"/>
        </w:rPr>
      </w:pPr>
      <w:bookmarkStart w:id="150" w:name="_Toc494292984"/>
      <w:bookmarkStart w:id="151" w:name="_Toc520300720"/>
      <w:bookmarkStart w:id="152" w:name="_Toc520822916"/>
      <w:bookmarkStart w:id="153" w:name="_Toc520910961"/>
      <w:bookmarkStart w:id="154" w:name="_Toc520911342"/>
      <w:bookmarkStart w:id="155" w:name="_Toc494292985"/>
      <w:bookmarkStart w:id="156" w:name="_Toc520300721"/>
      <w:bookmarkStart w:id="157" w:name="_Toc154068761"/>
      <w:r w:rsidRPr="00982558">
        <w:t>Local Service Policy</w:t>
      </w:r>
      <w:bookmarkEnd w:id="150"/>
      <w:bookmarkEnd w:id="151"/>
      <w:bookmarkEnd w:id="152"/>
      <w:bookmarkEnd w:id="153"/>
      <w:bookmarkEnd w:id="154"/>
      <w:bookmarkEnd w:id="157"/>
    </w:p>
    <w:p w14:paraId="100D5642" w14:textId="54BB116B" w:rsidR="002C7897" w:rsidRPr="00982558" w:rsidRDefault="00435443" w:rsidP="002C7897">
      <w:pPr>
        <w:pStyle w:val="BodyText125"/>
        <w:rPr>
          <w:szCs w:val="22"/>
        </w:rPr>
      </w:pPr>
      <w:r w:rsidRPr="00435443">
        <w:t xml:space="preserve">Some of the need for services generated by additional development consists of local services related to a plan of subdivision.  As such, they will be required as a condition of subdivision agreements or consent conditions. </w:t>
      </w:r>
      <w:r w:rsidR="00506C8E">
        <w:t xml:space="preserve"> The City has a local service policy in 2019.  This policy has been utilized for development occurring through 2023.  </w:t>
      </w:r>
      <w:r w:rsidRPr="00435443">
        <w:t xml:space="preserve">The </w:t>
      </w:r>
      <w:r>
        <w:t>City</w:t>
      </w:r>
      <w:r w:rsidRPr="00435443">
        <w:t>’s detailed Local Service Policy</w:t>
      </w:r>
      <w:r w:rsidR="00506C8E">
        <w:t>, as revised</w:t>
      </w:r>
      <w:r w:rsidRPr="00435443">
        <w:t xml:space="preserve"> is provided in Appendix E</w:t>
      </w:r>
      <w:r w:rsidR="002C7897" w:rsidRPr="00982558">
        <w:t>.</w:t>
      </w:r>
      <w:r w:rsidR="00506C8E">
        <w:t xml:space="preserve">  This revised policy, once adopted, will be utilized for future developments.</w:t>
      </w:r>
    </w:p>
    <w:p w14:paraId="6AB2CAF6" w14:textId="77777777" w:rsidR="00B91466" w:rsidRPr="00982558" w:rsidRDefault="00B91466" w:rsidP="00B16524">
      <w:pPr>
        <w:pStyle w:val="Heading2"/>
        <w:numPr>
          <w:ilvl w:val="1"/>
          <w:numId w:val="3"/>
        </w:numPr>
        <w:spacing w:before="240"/>
      </w:pPr>
      <w:bookmarkStart w:id="158" w:name="_Toc520822917"/>
      <w:bookmarkStart w:id="159" w:name="_Toc520910962"/>
      <w:bookmarkStart w:id="160" w:name="_Toc520911343"/>
      <w:bookmarkStart w:id="161" w:name="_Toc154068762"/>
      <w:r w:rsidRPr="00982558">
        <w:t>Capital Forecast</w:t>
      </w:r>
      <w:bookmarkEnd w:id="155"/>
      <w:bookmarkEnd w:id="156"/>
      <w:bookmarkEnd w:id="158"/>
      <w:bookmarkEnd w:id="159"/>
      <w:bookmarkEnd w:id="160"/>
      <w:bookmarkEnd w:id="161"/>
    </w:p>
    <w:p w14:paraId="682126EA" w14:textId="6B0806C4" w:rsidR="00B91466" w:rsidRPr="00982558" w:rsidRDefault="00B91466" w:rsidP="00B91466">
      <w:pPr>
        <w:pStyle w:val="BodyText125"/>
      </w:pPr>
      <w:r w:rsidRPr="00982558">
        <w:t xml:space="preserve">Paragraph 7 of </w:t>
      </w:r>
      <w:r w:rsidR="0083059C">
        <w:t xml:space="preserve">subsection </w:t>
      </w:r>
      <w:r w:rsidRPr="00982558">
        <w:t>5</w:t>
      </w:r>
      <w:r w:rsidR="007A1C44">
        <w:t xml:space="preserve"> </w:t>
      </w:r>
      <w:r w:rsidRPr="00982558">
        <w:t xml:space="preserve">(1) of the </w:t>
      </w:r>
      <w:r>
        <w:t>D.C.A.</w:t>
      </w:r>
      <w:r w:rsidRPr="00982558">
        <w:t xml:space="preserve"> requires that “the capital costs necessary to provide the increased services must be estimated.”  The Act goes on to require two </w:t>
      </w:r>
      <w:r w:rsidR="003633CA">
        <w:t xml:space="preserve">(2) </w:t>
      </w:r>
      <w:r w:rsidRPr="00982558">
        <w:t xml:space="preserve">potential cost reductions and the </w:t>
      </w:r>
      <w:r w:rsidR="003762F7">
        <w:t>r</w:t>
      </w:r>
      <w:r w:rsidRPr="00982558">
        <w:t>egulation sets out the way in which such costs are to be presented.  These requirements are outlined below.</w:t>
      </w:r>
    </w:p>
    <w:p w14:paraId="5ADEE042" w14:textId="77777777" w:rsidR="00B91466" w:rsidRPr="00982558" w:rsidRDefault="00B91466" w:rsidP="00B91466">
      <w:pPr>
        <w:pStyle w:val="BodyText125"/>
      </w:pPr>
      <w:r w:rsidRPr="00982558">
        <w:t>These estimates involve capital costing of the increased services discussed above.  This entails costing actual projects or the provision of service units, depending on how each service has been addressed.</w:t>
      </w:r>
    </w:p>
    <w:p w14:paraId="334E2A7B" w14:textId="77777777" w:rsidR="00B91466" w:rsidRPr="00982558" w:rsidRDefault="00B91466" w:rsidP="00B91466">
      <w:pPr>
        <w:pStyle w:val="BodyText125"/>
      </w:pPr>
      <w:r w:rsidRPr="00982558">
        <w:t>The capital costs include:</w:t>
      </w:r>
    </w:p>
    <w:p w14:paraId="58C076BE" w14:textId="77777777" w:rsidR="00B91466" w:rsidRPr="00982558" w:rsidRDefault="00B91466" w:rsidP="00F43901">
      <w:pPr>
        <w:pStyle w:val="BodyText125"/>
        <w:numPr>
          <w:ilvl w:val="0"/>
          <w:numId w:val="11"/>
        </w:numPr>
        <w:contextualSpacing/>
      </w:pPr>
      <w:r w:rsidRPr="00982558">
        <w:t>costs to acquire land or an interest therein (including a leasehold interest);</w:t>
      </w:r>
    </w:p>
    <w:p w14:paraId="6A982A7E" w14:textId="77777777" w:rsidR="00B91466" w:rsidRPr="00982558" w:rsidRDefault="00B91466" w:rsidP="00F43901">
      <w:pPr>
        <w:pStyle w:val="BodyText125"/>
        <w:numPr>
          <w:ilvl w:val="0"/>
          <w:numId w:val="11"/>
        </w:numPr>
        <w:contextualSpacing/>
      </w:pPr>
      <w:r w:rsidRPr="00982558">
        <w:t>costs to improve land;</w:t>
      </w:r>
    </w:p>
    <w:p w14:paraId="6AA30AF3" w14:textId="77777777" w:rsidR="00B91466" w:rsidRPr="00982558" w:rsidRDefault="00B91466" w:rsidP="00F43901">
      <w:pPr>
        <w:pStyle w:val="BodyText125"/>
        <w:numPr>
          <w:ilvl w:val="0"/>
          <w:numId w:val="11"/>
        </w:numPr>
        <w:contextualSpacing/>
      </w:pPr>
      <w:r w:rsidRPr="00982558">
        <w:t>costs to acquire, lease, construct or improve buildings and structures;</w:t>
      </w:r>
    </w:p>
    <w:p w14:paraId="0BE7EAB1" w14:textId="3172262E" w:rsidR="00B91466" w:rsidRPr="008C0230" w:rsidRDefault="00B91466" w:rsidP="00F43901">
      <w:pPr>
        <w:pStyle w:val="BodyText125"/>
        <w:numPr>
          <w:ilvl w:val="0"/>
          <w:numId w:val="11"/>
        </w:numPr>
        <w:contextualSpacing/>
      </w:pPr>
      <w:r w:rsidRPr="00982558">
        <w:t xml:space="preserve">costs to acquire, lease or improve facilities, including rolling stock (with a useful life of 7 or more years), furniture and equipment (other than computer </w:t>
      </w:r>
      <w:r w:rsidRPr="008C0230">
        <w:t>equipment), materials acquired for library circulation, reference</w:t>
      </w:r>
      <w:r w:rsidR="003762F7" w:rsidRPr="008C0230">
        <w:t>,</w:t>
      </w:r>
      <w:r w:rsidRPr="008C0230">
        <w:t xml:space="preserve"> or information purposes;</w:t>
      </w:r>
      <w:r w:rsidR="00D429C6" w:rsidRPr="008C0230">
        <w:t xml:space="preserve"> and </w:t>
      </w:r>
    </w:p>
    <w:p w14:paraId="5B2336AE" w14:textId="2DF88324" w:rsidR="00B91466" w:rsidRPr="008C0230" w:rsidRDefault="00B91466" w:rsidP="00F43901">
      <w:pPr>
        <w:pStyle w:val="BodyText125"/>
        <w:numPr>
          <w:ilvl w:val="0"/>
          <w:numId w:val="11"/>
        </w:numPr>
        <w:ind w:left="714" w:hanging="357"/>
      </w:pPr>
      <w:r w:rsidRPr="008C0230">
        <w:t>interest on money borrowed to pay for the above-referenced costs</w:t>
      </w:r>
      <w:r w:rsidR="00D429C6" w:rsidRPr="008C0230">
        <w:t>.</w:t>
      </w:r>
    </w:p>
    <w:p w14:paraId="5D5090C6" w14:textId="574BDF4C" w:rsidR="00B91466" w:rsidRPr="00982558" w:rsidRDefault="00B91466" w:rsidP="003633CA">
      <w:pPr>
        <w:pStyle w:val="BodyText125"/>
      </w:pPr>
      <w:r w:rsidRPr="008C0230">
        <w:t xml:space="preserve">In order for an increase in need for service to be included in the D.C. calculation, </w:t>
      </w:r>
      <w:r w:rsidR="00A1355F" w:rsidRPr="008C0230">
        <w:t>City</w:t>
      </w:r>
      <w:r w:rsidRPr="008C0230">
        <w:t xml:space="preserve"> Council must indicate “that it intends to ensure that such an increase in need will be met” (</w:t>
      </w:r>
      <w:r w:rsidR="0083059C" w:rsidRPr="008C0230">
        <w:t xml:space="preserve">subsection </w:t>
      </w:r>
      <w:r w:rsidRPr="008C0230">
        <w:t>5 (1)</w:t>
      </w:r>
      <w:r w:rsidR="007A1C44" w:rsidRPr="008C0230">
        <w:t xml:space="preserve"> </w:t>
      </w:r>
      <w:r w:rsidRPr="008C0230">
        <w:t>3).  This can be done if the increase in service forms part of a Council-approved Official Plan, capital forecast</w:t>
      </w:r>
      <w:r w:rsidR="003762F7" w:rsidRPr="008C0230">
        <w:t>,</w:t>
      </w:r>
      <w:r w:rsidRPr="008C0230">
        <w:t xml:space="preserve"> or similar expression of the intention of Council (</w:t>
      </w:r>
      <w:r w:rsidR="003B194A" w:rsidRPr="008C0230">
        <w:t>O.</w:t>
      </w:r>
      <w:r w:rsidR="003B194A" w:rsidRPr="008C0230">
        <w:rPr>
          <w:noProof/>
        </w:rPr>
        <w:t> </w:t>
      </w:r>
      <w:r w:rsidR="003B194A" w:rsidRPr="008C0230">
        <w:t>Reg</w:t>
      </w:r>
      <w:r w:rsidRPr="008C0230">
        <w:t xml:space="preserve">. 82/98 </w:t>
      </w:r>
      <w:r w:rsidR="0083059C" w:rsidRPr="008C0230">
        <w:t xml:space="preserve">section </w:t>
      </w:r>
      <w:r w:rsidRPr="008C0230">
        <w:t xml:space="preserve">3).  The capital program contained herein reflects the </w:t>
      </w:r>
      <w:r w:rsidR="00A1355F" w:rsidRPr="008C0230">
        <w:t>City</w:t>
      </w:r>
      <w:r w:rsidRPr="008C0230">
        <w:t>’s approved and proposed capital budgets and master servicing/needs studies.</w:t>
      </w:r>
    </w:p>
    <w:p w14:paraId="76CED7F0" w14:textId="77777777" w:rsidR="00B91466" w:rsidRPr="00982558" w:rsidRDefault="00B91466" w:rsidP="00B16524">
      <w:pPr>
        <w:pStyle w:val="Heading2"/>
        <w:numPr>
          <w:ilvl w:val="1"/>
          <w:numId w:val="3"/>
        </w:numPr>
        <w:rPr>
          <w:szCs w:val="23"/>
        </w:rPr>
      </w:pPr>
      <w:bookmarkStart w:id="162" w:name="_Toc494292986"/>
      <w:bookmarkStart w:id="163" w:name="_Toc520300722"/>
      <w:bookmarkStart w:id="164" w:name="_Toc520822918"/>
      <w:bookmarkStart w:id="165" w:name="_Toc520910963"/>
      <w:bookmarkStart w:id="166" w:name="_Toc520911344"/>
      <w:bookmarkStart w:id="167" w:name="_Toc154068763"/>
      <w:r w:rsidRPr="00982558">
        <w:t>Treatment of Credits</w:t>
      </w:r>
      <w:bookmarkEnd w:id="162"/>
      <w:bookmarkEnd w:id="163"/>
      <w:bookmarkEnd w:id="164"/>
      <w:bookmarkEnd w:id="165"/>
      <w:bookmarkEnd w:id="166"/>
      <w:bookmarkEnd w:id="167"/>
    </w:p>
    <w:p w14:paraId="783F147C" w14:textId="7BD61674" w:rsidR="00B91466" w:rsidRDefault="00B91466" w:rsidP="00B91466">
      <w:pPr>
        <w:pStyle w:val="BodyText125"/>
      </w:pPr>
      <w:r w:rsidRPr="00982558">
        <w:t>Section 8</w:t>
      </w:r>
      <w:r w:rsidR="007D5E68">
        <w:t>,</w:t>
      </w:r>
      <w:r w:rsidRPr="00982558">
        <w:t xml:space="preserve"> para</w:t>
      </w:r>
      <w:r w:rsidR="007D5E68">
        <w:t>graph</w:t>
      </w:r>
      <w:r w:rsidRPr="00982558">
        <w:t xml:space="preserve"> 5</w:t>
      </w:r>
      <w:r w:rsidR="007D5E68">
        <w:t>,</w:t>
      </w:r>
      <w:r w:rsidRPr="00982558">
        <w:t xml:space="preserve"> of </w:t>
      </w:r>
      <w:r w:rsidR="003B194A">
        <w:t>O.</w:t>
      </w:r>
      <w:r w:rsidR="003B194A">
        <w:rPr>
          <w:noProof/>
        </w:rPr>
        <w:t> </w:t>
      </w:r>
      <w:r w:rsidR="003B194A">
        <w:t>Reg</w:t>
      </w:r>
      <w:r w:rsidRPr="00982558">
        <w:t xml:space="preserve">. 82/98 indicates that a </w:t>
      </w:r>
      <w:r>
        <w:t>D.C.</w:t>
      </w:r>
      <w:r w:rsidRPr="00982558">
        <w:t xml:space="preserve"> background study must set out “the estimated value of credits that are being carried forward relating to the service.” </w:t>
      </w:r>
      <w:r w:rsidR="007D5E68">
        <w:t xml:space="preserve"> Subsection </w:t>
      </w:r>
      <w:r w:rsidRPr="00982558">
        <w:t>17</w:t>
      </w:r>
      <w:r w:rsidR="007D5E68">
        <w:t>, paragraph</w:t>
      </w:r>
      <w:r w:rsidRPr="00982558">
        <w:t xml:space="preserve"> 4</w:t>
      </w:r>
      <w:r w:rsidR="007D5E68">
        <w:t>,</w:t>
      </w:r>
      <w:r w:rsidRPr="00982558">
        <w:t xml:space="preserve"> of the same </w:t>
      </w:r>
      <w:r w:rsidR="003762F7">
        <w:t>r</w:t>
      </w:r>
      <w:r w:rsidRPr="00982558">
        <w:t xml:space="preserve">egulation indicates that “the value of the credit cannot be recovered from future </w:t>
      </w:r>
      <w:r>
        <w:t>D.C.</w:t>
      </w:r>
      <w:r w:rsidRPr="00982558">
        <w:t xml:space="preserve">s,” if the credit pertains to an ineligible service.  This implies that a credit for </w:t>
      </w:r>
      <w:r w:rsidRPr="00982558">
        <w:rPr>
          <w:u w:val="single"/>
        </w:rPr>
        <w:t>eligible</w:t>
      </w:r>
      <w:r w:rsidRPr="00982558">
        <w:t xml:space="preserve"> services can be recovered from future </w:t>
      </w:r>
      <w:r>
        <w:t>D.C.</w:t>
      </w:r>
      <w:r w:rsidRPr="00982558">
        <w:t xml:space="preserve">s.  As a result, this provision should be made in the calculation, in order to avoid a funding shortfall with respect to future service needs.  </w:t>
      </w:r>
      <w:r w:rsidR="00403729" w:rsidRPr="00403729">
        <w:t>There are no current outstanding credits for inclusion in the D.C. calculations</w:t>
      </w:r>
      <w:r w:rsidR="003633CA">
        <w:t xml:space="preserve"> as all outstanding credits have been captured as commitments against the D.C. reserve funds (detailed in section 4.8).</w:t>
      </w:r>
    </w:p>
    <w:p w14:paraId="72EE5BA0" w14:textId="2B9FF321" w:rsidR="00403729" w:rsidRDefault="00403729" w:rsidP="00B16524">
      <w:pPr>
        <w:pStyle w:val="Heading2"/>
        <w:numPr>
          <w:ilvl w:val="1"/>
          <w:numId w:val="3"/>
        </w:numPr>
      </w:pPr>
      <w:bookmarkStart w:id="168" w:name="_Toc494292988"/>
      <w:bookmarkStart w:id="169" w:name="_Toc520300724"/>
      <w:bookmarkStart w:id="170" w:name="_Toc520822920"/>
      <w:bookmarkStart w:id="171" w:name="_Toc520910965"/>
      <w:bookmarkStart w:id="172" w:name="_Toc520911346"/>
      <w:bookmarkStart w:id="173" w:name="_Toc154068764"/>
      <w:r>
        <w:t>Classes of Services</w:t>
      </w:r>
      <w:bookmarkEnd w:id="173"/>
    </w:p>
    <w:p w14:paraId="5CD609B2" w14:textId="77777777" w:rsidR="00403729" w:rsidRDefault="00403729" w:rsidP="00403729">
      <w:pPr>
        <w:pStyle w:val="BodyText125"/>
        <w:rPr>
          <w:lang w:eastAsia="ja-JP"/>
        </w:rPr>
      </w:pPr>
      <w:r>
        <w:rPr>
          <w:lang w:eastAsia="ja-JP"/>
        </w:rPr>
        <w:t>Section 7 of the D.C.A. states that a D.C. by-law may provide for any D.C. eligible service or the capital costs with respect to those services.  Further, a class may be composed of any number or combination of services and may include parts or portions of each D.C. eligible service.</w:t>
      </w:r>
    </w:p>
    <w:p w14:paraId="380A28F7" w14:textId="3BF99BB5" w:rsidR="00403729" w:rsidRPr="00403729" w:rsidRDefault="00403729" w:rsidP="00403729">
      <w:pPr>
        <w:pStyle w:val="BodyText125"/>
        <w:rPr>
          <w:lang w:eastAsia="ja-JP"/>
        </w:rPr>
      </w:pPr>
      <w:r>
        <w:rPr>
          <w:lang w:eastAsia="ja-JP"/>
        </w:rPr>
        <w:t>These provisions allow for services to be grouped together to create a class for the purposes of the D.C. by-law and D.C. reserve funds.  The D.C. calculations and by-law provided herein have identified Public Works (Facilities and Fleet) as a class of service.</w:t>
      </w:r>
    </w:p>
    <w:p w14:paraId="2701D475" w14:textId="32B55E45" w:rsidR="00B91466" w:rsidRPr="00982558" w:rsidRDefault="00B91466" w:rsidP="00B16524">
      <w:pPr>
        <w:pStyle w:val="Heading2"/>
        <w:numPr>
          <w:ilvl w:val="1"/>
          <w:numId w:val="3"/>
        </w:numPr>
      </w:pPr>
      <w:bookmarkStart w:id="174" w:name="_Toc154068765"/>
      <w:r w:rsidRPr="00982558">
        <w:t>Existing Reserve Funds</w:t>
      </w:r>
      <w:bookmarkEnd w:id="168"/>
      <w:bookmarkEnd w:id="169"/>
      <w:bookmarkEnd w:id="170"/>
      <w:bookmarkEnd w:id="171"/>
      <w:bookmarkEnd w:id="172"/>
      <w:bookmarkEnd w:id="174"/>
    </w:p>
    <w:p w14:paraId="0C404647" w14:textId="77777777" w:rsidR="00B91466" w:rsidRPr="00982558" w:rsidRDefault="00B91466" w:rsidP="00B91466">
      <w:pPr>
        <w:pStyle w:val="BodyText125"/>
      </w:pPr>
      <w:r w:rsidRPr="00982558">
        <w:t xml:space="preserve">Section 35 of the </w:t>
      </w:r>
      <w:r>
        <w:t>D.C.A.</w:t>
      </w:r>
      <w:r w:rsidRPr="00982558">
        <w:t xml:space="preserve"> states that:</w:t>
      </w:r>
    </w:p>
    <w:p w14:paraId="18D4C6FF" w14:textId="699BB150" w:rsidR="00B91466" w:rsidRPr="00982558" w:rsidRDefault="00B91466" w:rsidP="00B91466">
      <w:pPr>
        <w:pStyle w:val="Quote"/>
      </w:pPr>
      <w:r w:rsidRPr="00982558">
        <w:t xml:space="preserve">“The money in a reserve fund established for a service may be spent only for capital costs determined under paragraphs 2 to </w:t>
      </w:r>
      <w:r w:rsidR="00403729">
        <w:t>7</w:t>
      </w:r>
      <w:r w:rsidRPr="00982558">
        <w:t xml:space="preserve"> of subsection 5</w:t>
      </w:r>
      <w:r w:rsidR="007A1C44">
        <w:t xml:space="preserve"> </w:t>
      </w:r>
      <w:r w:rsidRPr="00982558">
        <w:t>(1).”</w:t>
      </w:r>
    </w:p>
    <w:p w14:paraId="35E2D6C4" w14:textId="77777777" w:rsidR="00B91466" w:rsidRDefault="00B91466" w:rsidP="00B91466">
      <w:pPr>
        <w:pStyle w:val="BodyText125"/>
      </w:pPr>
      <w:r w:rsidRPr="00982558">
        <w:t xml:space="preserve">There is no explicit requirement under the </w:t>
      </w:r>
      <w:r>
        <w:t>D.C.A.</w:t>
      </w:r>
      <w:r w:rsidRPr="00982558">
        <w:t xml:space="preserve"> calculation method set out in </w:t>
      </w:r>
      <w:r w:rsidR="0083059C">
        <w:t xml:space="preserve">subsection </w:t>
      </w:r>
      <w:r w:rsidRPr="00982558">
        <w:t>5</w:t>
      </w:r>
      <w:r w:rsidR="007A1C44">
        <w:t xml:space="preserve"> </w:t>
      </w:r>
      <w:r w:rsidRPr="00982558">
        <w:t xml:space="preserve">(1) to net the outstanding reserve fund balance as part of making the </w:t>
      </w:r>
      <w:r>
        <w:t>D.C.</w:t>
      </w:r>
      <w:r w:rsidRPr="00982558">
        <w:t xml:space="preserve"> calculation; however, </w:t>
      </w:r>
      <w:r w:rsidR="0083059C">
        <w:t xml:space="preserve">section </w:t>
      </w:r>
      <w:r w:rsidRPr="00982558">
        <w:t xml:space="preserve">35 does restrict the way in which the funds are used in future.  </w:t>
      </w:r>
    </w:p>
    <w:p w14:paraId="5A55E489" w14:textId="7E4D9140" w:rsidR="00B91466" w:rsidRPr="00403729" w:rsidRDefault="00B91466" w:rsidP="00B91466">
      <w:pPr>
        <w:pStyle w:val="BodyText125"/>
      </w:pPr>
      <w:r w:rsidRPr="00982558">
        <w:t xml:space="preserve">For services </w:t>
      </w:r>
      <w:r w:rsidR="003762F7">
        <w:t xml:space="preserve">that </w:t>
      </w:r>
      <w:r w:rsidRPr="00982558">
        <w:t xml:space="preserve">are subject to a per capita based, service level “cap,” the reserve fund balance should be applied against the development-related costs for which the charge was imposed once the project is constructed (i.e. the needs of recent growth).  This cost </w:t>
      </w:r>
      <w:r w:rsidRPr="00403729">
        <w:t xml:space="preserve">component is distinct from the development-related costs for the </w:t>
      </w:r>
      <w:r w:rsidR="0057759A">
        <w:t>future</w:t>
      </w:r>
      <w:r w:rsidRPr="00403729">
        <w:t xml:space="preserve"> </w:t>
      </w:r>
      <w:r w:rsidR="0057759A">
        <w:t xml:space="preserve">forecast </w:t>
      </w:r>
      <w:r w:rsidRPr="00403729">
        <w:t>period</w:t>
      </w:r>
      <w:r w:rsidR="0057759A">
        <w:t>s</w:t>
      </w:r>
      <w:r w:rsidRPr="00403729">
        <w:t xml:space="preserve">, which underlie the D.C. calculation herein.  </w:t>
      </w:r>
    </w:p>
    <w:p w14:paraId="2C2D329D" w14:textId="4F769EA6" w:rsidR="00B91466" w:rsidRDefault="00B91466" w:rsidP="00B91466">
      <w:pPr>
        <w:pStyle w:val="BodyText125"/>
      </w:pPr>
      <w:r w:rsidRPr="00403729">
        <w:t xml:space="preserve">The alternative would involve the </w:t>
      </w:r>
      <w:r w:rsidR="00A1355F" w:rsidRPr="00403729">
        <w:t>City</w:t>
      </w:r>
      <w:r w:rsidRPr="00403729">
        <w:t xml:space="preserve"> spending all reserve fund monies prior to renewing each by-law, which would not be a sound basis for capital budgeting.  Thus, the </w:t>
      </w:r>
      <w:r w:rsidR="00A1355F" w:rsidRPr="00403729">
        <w:t>City</w:t>
      </w:r>
      <w:r w:rsidRPr="00403729">
        <w:t xml:space="preserve"> will use these reserve funds for the </w:t>
      </w:r>
      <w:r w:rsidR="00A1355F" w:rsidRPr="00403729">
        <w:t>City</w:t>
      </w:r>
      <w:r w:rsidRPr="00403729">
        <w:t xml:space="preserve">’s cost share of applicable development-related projects, which are required but have not yet been undertaken, as a way of directing the funds to the benefit of the development </w:t>
      </w:r>
      <w:r w:rsidR="00210741" w:rsidRPr="00403729">
        <w:t>that</w:t>
      </w:r>
      <w:r w:rsidRPr="00403729">
        <w:t xml:space="preserve"> contributed them (rather than</w:t>
      </w:r>
      <w:r w:rsidRPr="00982558">
        <w:t xml:space="preserve"> to future development, which will generate the need for additional facilities directly proportionate to future growth).</w:t>
      </w:r>
    </w:p>
    <w:p w14:paraId="5CFB7884" w14:textId="4772DB41" w:rsidR="00B91466" w:rsidRDefault="00B91466" w:rsidP="00C93A56">
      <w:pPr>
        <w:pStyle w:val="BodyText125"/>
      </w:pPr>
      <w:r w:rsidRPr="0057759A">
        <w:t xml:space="preserve">The </w:t>
      </w:r>
      <w:r w:rsidR="00A1355F" w:rsidRPr="0057759A">
        <w:t>City</w:t>
      </w:r>
      <w:r w:rsidRPr="0057759A">
        <w:t>’s D</w:t>
      </w:r>
      <w:r>
        <w:t>.C.</w:t>
      </w:r>
      <w:r w:rsidRPr="00982558">
        <w:t xml:space="preserve"> Reserve Fund </w:t>
      </w:r>
      <w:r w:rsidR="0057759A">
        <w:t xml:space="preserve">balances </w:t>
      </w:r>
      <w:r>
        <w:t xml:space="preserve">by service </w:t>
      </w:r>
      <w:r w:rsidR="0057759A">
        <w:t>of</w:t>
      </w:r>
      <w:r>
        <w:t xml:space="preserve"> December 31, 20</w:t>
      </w:r>
      <w:r w:rsidR="0057759A">
        <w:t>22 are</w:t>
      </w:r>
      <w:r w:rsidRPr="00982558">
        <w:t xml:space="preserve"> shown below:</w:t>
      </w:r>
    </w:p>
    <w:p w14:paraId="1740BA50" w14:textId="4E040392" w:rsidR="008344BB" w:rsidRDefault="008344BB" w:rsidP="008344BB">
      <w:pPr>
        <w:pStyle w:val="FigureTableTitles"/>
      </w:pPr>
      <w:r>
        <w:t>Table 4-2</w:t>
      </w:r>
    </w:p>
    <w:p w14:paraId="110ACA54" w14:textId="648D9267" w:rsidR="008344BB" w:rsidRDefault="008344BB" w:rsidP="008344BB">
      <w:pPr>
        <w:pStyle w:val="FigureTableTitles"/>
      </w:pPr>
      <w:r>
        <w:t>City of Cambridge</w:t>
      </w:r>
    </w:p>
    <w:p w14:paraId="0F6F4245" w14:textId="03C7238E" w:rsidR="008344BB" w:rsidRDefault="008344BB" w:rsidP="008344BB">
      <w:pPr>
        <w:pStyle w:val="FigureTableTitles"/>
      </w:pPr>
      <w:r>
        <w:t>Reserve Fund Balances, as at December 31, 2022</w:t>
      </w:r>
    </w:p>
    <w:p w14:paraId="364B44BC" w14:textId="58390B75" w:rsidR="00B91466" w:rsidRPr="00982558" w:rsidRDefault="003633CA" w:rsidP="003633CA">
      <w:pPr>
        <w:pStyle w:val="BodyText125"/>
        <w:spacing w:after="0"/>
        <w:jc w:val="center"/>
      </w:pPr>
      <w:r w:rsidRPr="003633CA">
        <w:rPr>
          <w:noProof/>
        </w:rPr>
        <w:drawing>
          <wp:inline distT="0" distB="0" distL="0" distR="0" wp14:anchorId="70C8A1BD" wp14:editId="2BBA0EF2">
            <wp:extent cx="4585027" cy="2100262"/>
            <wp:effectExtent l="0" t="0" r="6350" b="0"/>
            <wp:docPr id="67972086" name="Picture 2" descr="Table 4-2 showing the reserve fund balances at December 31,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2086" name="Picture 2" descr="Table 4-2 showing the reserve fund balances at December 31, 20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3647" cy="2104211"/>
                    </a:xfrm>
                    <a:prstGeom prst="rect">
                      <a:avLst/>
                    </a:prstGeom>
                    <a:noFill/>
                    <a:ln>
                      <a:noFill/>
                    </a:ln>
                  </pic:spPr>
                </pic:pic>
              </a:graphicData>
            </a:graphic>
          </wp:inline>
        </w:drawing>
      </w:r>
    </w:p>
    <w:p w14:paraId="00989F8A" w14:textId="77777777" w:rsidR="00B91466" w:rsidRDefault="00B91466" w:rsidP="0057759A">
      <w:pPr>
        <w:pStyle w:val="BodyText125"/>
        <w:ind w:left="360" w:firstLine="360"/>
      </w:pPr>
      <w:r w:rsidRPr="00C55766">
        <w:t xml:space="preserve">Note:  Amounts in brackets are </w:t>
      </w:r>
      <w:r w:rsidR="00067456">
        <w:t>d</w:t>
      </w:r>
      <w:r w:rsidRPr="00C55766">
        <w:t>eficit balances.</w:t>
      </w:r>
    </w:p>
    <w:p w14:paraId="4B43E1A9" w14:textId="77777777" w:rsidR="003633CA" w:rsidRDefault="003633CA" w:rsidP="003633CA">
      <w:pPr>
        <w:pStyle w:val="BodyText125"/>
        <w:sectPr w:rsidR="003633CA" w:rsidSect="00CE12B2">
          <w:footerReference w:type="first" r:id="rId55"/>
          <w:footnotePr>
            <w:numRestart w:val="eachPage"/>
          </w:footnotePr>
          <w:pgSz w:w="12240" w:h="15840" w:code="1"/>
          <w:pgMar w:top="1440" w:right="1440" w:bottom="1440" w:left="1440" w:header="432" w:footer="619" w:gutter="0"/>
          <w:pgNumType w:start="1" w:chapStyle="1"/>
          <w:cols w:space="708"/>
          <w:titlePg/>
          <w:docGrid w:linePitch="360"/>
        </w:sectPr>
      </w:pPr>
      <w:r>
        <w:t>Through discussions with City staff, a number of D.C. capital projects that were identified in the 2019 D.C. study now have approved funding and/or have begun construction.  As such, these projects will be shown as commitments against the D.C. reserve funds.  The following table provides a detailed listing of the commitments by reserve fund:</w:t>
      </w:r>
    </w:p>
    <w:p w14:paraId="6B831267" w14:textId="5A0D1842" w:rsidR="008344BB" w:rsidRDefault="008344BB" w:rsidP="008344BB">
      <w:pPr>
        <w:pStyle w:val="FigureTableTitles"/>
      </w:pPr>
      <w:r>
        <w:t>Table 4-3</w:t>
      </w:r>
    </w:p>
    <w:p w14:paraId="1E65DE6C" w14:textId="77777777" w:rsidR="008344BB" w:rsidRDefault="008344BB" w:rsidP="008344BB">
      <w:pPr>
        <w:pStyle w:val="FigureTableTitles"/>
      </w:pPr>
      <w:r>
        <w:t>City of Cambridge</w:t>
      </w:r>
    </w:p>
    <w:p w14:paraId="571F9AA2" w14:textId="16317680" w:rsidR="008344BB" w:rsidRDefault="008344BB" w:rsidP="008344BB">
      <w:pPr>
        <w:pStyle w:val="FigureTableTitles"/>
      </w:pPr>
      <w:r>
        <w:t>Reserve Fund Commitments – 2023 Onwards</w:t>
      </w:r>
    </w:p>
    <w:p w14:paraId="35D17F91" w14:textId="74DDFD75" w:rsidR="003633CA" w:rsidRDefault="00986DBD" w:rsidP="00C7030D">
      <w:pPr>
        <w:pStyle w:val="BodyText125"/>
        <w:jc w:val="center"/>
        <w:sectPr w:rsidR="003633CA" w:rsidSect="008344BB">
          <w:footnotePr>
            <w:numRestart w:val="eachPage"/>
          </w:footnotePr>
          <w:pgSz w:w="15840" w:h="12240" w:orient="landscape" w:code="1"/>
          <w:pgMar w:top="1440" w:right="1440" w:bottom="1440" w:left="1440" w:header="432" w:footer="619" w:gutter="0"/>
          <w:pgNumType w:chapStyle="1"/>
          <w:cols w:space="708"/>
          <w:titlePg/>
          <w:docGrid w:linePitch="360"/>
        </w:sectPr>
      </w:pPr>
      <w:r w:rsidRPr="00986DBD">
        <w:rPr>
          <w:noProof/>
        </w:rPr>
        <w:drawing>
          <wp:inline distT="0" distB="0" distL="0" distR="0" wp14:anchorId="447DE93C" wp14:editId="58329FA0">
            <wp:extent cx="8229600" cy="3717925"/>
            <wp:effectExtent l="0" t="0" r="0" b="0"/>
            <wp:docPr id="2076555191" name="Picture 10" descr="Table 4-3 showing the reserve fund commitments from 2023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55191" name="Picture 10" descr="Table 4-3 showing the reserve fund commitments from 2023 onward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29600" cy="3717925"/>
                    </a:xfrm>
                    <a:prstGeom prst="rect">
                      <a:avLst/>
                    </a:prstGeom>
                    <a:noFill/>
                    <a:ln>
                      <a:noFill/>
                    </a:ln>
                  </pic:spPr>
                </pic:pic>
              </a:graphicData>
            </a:graphic>
          </wp:inline>
        </w:drawing>
      </w:r>
    </w:p>
    <w:p w14:paraId="597E5A3D" w14:textId="64C61168" w:rsidR="008344BB" w:rsidRDefault="008344BB" w:rsidP="008344BB">
      <w:pPr>
        <w:pStyle w:val="BodyText125"/>
      </w:pPr>
      <w:bookmarkStart w:id="175" w:name="_Toc494292989"/>
      <w:bookmarkStart w:id="176" w:name="_Toc520300725"/>
      <w:bookmarkStart w:id="177" w:name="_Toc520822921"/>
      <w:bookmarkStart w:id="178" w:name="_Toc520910966"/>
      <w:bookmarkStart w:id="179" w:name="_Toc520911347"/>
      <w:r>
        <w:t>As a result of the commitments noted in Table 4-3, the following adjusted reserve fund balances will be utilized in the D.C. calculations:</w:t>
      </w:r>
    </w:p>
    <w:p w14:paraId="35FAB1D3" w14:textId="7F83FDF7" w:rsidR="008344BB" w:rsidRDefault="008344BB" w:rsidP="008344BB">
      <w:pPr>
        <w:pStyle w:val="FigureTableTitles"/>
      </w:pPr>
      <w:r>
        <w:t>Table 4-4</w:t>
      </w:r>
    </w:p>
    <w:p w14:paraId="6A40098B" w14:textId="77777777" w:rsidR="008344BB" w:rsidRDefault="008344BB" w:rsidP="008344BB">
      <w:pPr>
        <w:pStyle w:val="FigureTableTitles"/>
      </w:pPr>
      <w:r>
        <w:t>City of Cambridge</w:t>
      </w:r>
    </w:p>
    <w:p w14:paraId="2E3960B7" w14:textId="35BB1B1F" w:rsidR="008344BB" w:rsidRDefault="008344BB" w:rsidP="008344BB">
      <w:pPr>
        <w:pStyle w:val="FigureTableTitles"/>
      </w:pPr>
      <w:r>
        <w:t>Reserve Fund Commitments – 2023 Onwards</w:t>
      </w:r>
    </w:p>
    <w:p w14:paraId="1A36CB55" w14:textId="59919A72" w:rsidR="008344BB" w:rsidRDefault="00986DBD" w:rsidP="00C7030D">
      <w:pPr>
        <w:pStyle w:val="BodyText125"/>
        <w:jc w:val="center"/>
      </w:pPr>
      <w:r w:rsidRPr="00986DBD">
        <w:rPr>
          <w:noProof/>
        </w:rPr>
        <w:drawing>
          <wp:inline distT="0" distB="0" distL="0" distR="0" wp14:anchorId="64E46CBC" wp14:editId="56D1638D">
            <wp:extent cx="5943600" cy="1605915"/>
            <wp:effectExtent l="0" t="0" r="0" b="0"/>
            <wp:docPr id="1943963546" name="Picture 11" descr="Table 4-4 showing the balances in the reserve funds for the various D.C. eligibl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63546" name="Picture 11" descr="Table 4-4 showing the balances in the reserve funds for the various D.C. eligible servic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1605915"/>
                    </a:xfrm>
                    <a:prstGeom prst="rect">
                      <a:avLst/>
                    </a:prstGeom>
                    <a:noFill/>
                    <a:ln>
                      <a:noFill/>
                    </a:ln>
                  </pic:spPr>
                </pic:pic>
              </a:graphicData>
            </a:graphic>
          </wp:inline>
        </w:drawing>
      </w:r>
    </w:p>
    <w:p w14:paraId="7A2D304B" w14:textId="56F393EA" w:rsidR="00B91466" w:rsidRPr="00982558" w:rsidRDefault="00B91466" w:rsidP="00B16524">
      <w:pPr>
        <w:pStyle w:val="Heading2"/>
        <w:numPr>
          <w:ilvl w:val="1"/>
          <w:numId w:val="3"/>
        </w:numPr>
      </w:pPr>
      <w:bookmarkStart w:id="180" w:name="_Toc154068766"/>
      <w:r w:rsidRPr="00982558">
        <w:t>Deductions</w:t>
      </w:r>
      <w:bookmarkEnd w:id="175"/>
      <w:bookmarkEnd w:id="176"/>
      <w:bookmarkEnd w:id="177"/>
      <w:bookmarkEnd w:id="178"/>
      <w:bookmarkEnd w:id="179"/>
      <w:bookmarkEnd w:id="180"/>
    </w:p>
    <w:p w14:paraId="32A2B22C" w14:textId="180DC29D" w:rsidR="00B91466" w:rsidRPr="00982558" w:rsidRDefault="00B91466" w:rsidP="00B91466">
      <w:pPr>
        <w:pStyle w:val="BodyText125"/>
      </w:pPr>
      <w:r w:rsidRPr="00982558">
        <w:t xml:space="preserve">The </w:t>
      </w:r>
      <w:r>
        <w:t>D.C.A.</w:t>
      </w:r>
      <w:r w:rsidRPr="00982558">
        <w:t xml:space="preserve"> potentially requires that </w:t>
      </w:r>
      <w:r w:rsidR="008344BB">
        <w:t>four (4)</w:t>
      </w:r>
      <w:r w:rsidRPr="00982558">
        <w:t xml:space="preserve"> deductions be made to the increase in the need for service.  These relate to: </w:t>
      </w:r>
    </w:p>
    <w:p w14:paraId="269A09D8" w14:textId="77777777" w:rsidR="00B91466" w:rsidRPr="00982558" w:rsidRDefault="00B91466" w:rsidP="00B91466">
      <w:pPr>
        <w:pStyle w:val="BodyTextbullets125"/>
      </w:pPr>
      <w:r w:rsidRPr="00982558">
        <w:t>the level of service ceiling;</w:t>
      </w:r>
    </w:p>
    <w:p w14:paraId="7E785E5C" w14:textId="77777777" w:rsidR="00B91466" w:rsidRPr="00982558" w:rsidRDefault="00B91466" w:rsidP="00B91466">
      <w:pPr>
        <w:pStyle w:val="BodyTextbullets125"/>
      </w:pPr>
      <w:r w:rsidRPr="00982558">
        <w:t xml:space="preserve">uncommitted excess </w:t>
      </w:r>
      <w:r>
        <w:t>capacity</w:t>
      </w:r>
      <w:r w:rsidRPr="00982558">
        <w:t>;</w:t>
      </w:r>
    </w:p>
    <w:p w14:paraId="6AC8E6C8" w14:textId="019BE85F" w:rsidR="00B91466" w:rsidRPr="00982558" w:rsidRDefault="00B91466" w:rsidP="00B91466">
      <w:pPr>
        <w:pStyle w:val="BodyTextbullets125"/>
      </w:pPr>
      <w:r w:rsidRPr="00982558">
        <w:t>benefit to existing development;</w:t>
      </w:r>
      <w:r w:rsidR="004A4E6C">
        <w:t xml:space="preserve"> and</w:t>
      </w:r>
    </w:p>
    <w:p w14:paraId="384A6E22" w14:textId="31EFDD07" w:rsidR="00B91466" w:rsidRPr="00982558" w:rsidRDefault="00B91466" w:rsidP="00B91466">
      <w:pPr>
        <w:pStyle w:val="BodyTextbullets125"/>
      </w:pPr>
      <w:r w:rsidRPr="00982558">
        <w:t>anticipated grants, subsidies</w:t>
      </w:r>
      <w:r w:rsidR="00067456">
        <w:t>,</w:t>
      </w:r>
      <w:r w:rsidRPr="00982558">
        <w:t xml:space="preserve"> and other contributions</w:t>
      </w:r>
      <w:r w:rsidR="004A4E6C">
        <w:t>.</w:t>
      </w:r>
    </w:p>
    <w:p w14:paraId="514B3B8F" w14:textId="77777777" w:rsidR="00B91466" w:rsidRPr="00982558" w:rsidRDefault="00B91466" w:rsidP="00B91466">
      <w:pPr>
        <w:pStyle w:val="BodyText125"/>
      </w:pPr>
      <w:r w:rsidRPr="00982558">
        <w:t xml:space="preserve">The requirements behind each of these reductions are addressed </w:t>
      </w:r>
      <w:r w:rsidR="00210741">
        <w:t>below.</w:t>
      </w:r>
    </w:p>
    <w:p w14:paraId="4E38C4E0" w14:textId="77777777" w:rsidR="00B91466" w:rsidRPr="00982558" w:rsidRDefault="00B91466" w:rsidP="00B16524">
      <w:pPr>
        <w:pStyle w:val="Heading3"/>
        <w:numPr>
          <w:ilvl w:val="2"/>
          <w:numId w:val="3"/>
        </w:numPr>
      </w:pPr>
      <w:bookmarkStart w:id="181" w:name="_Toc494292990"/>
      <w:bookmarkStart w:id="182" w:name="_Toc520300726"/>
      <w:bookmarkStart w:id="183" w:name="_Toc520822922"/>
      <w:bookmarkStart w:id="184" w:name="_Toc520910967"/>
      <w:bookmarkStart w:id="185" w:name="_Toc520911348"/>
      <w:bookmarkStart w:id="186" w:name="_Toc154068767"/>
      <w:r w:rsidRPr="00982558">
        <w:t>Reduction Required by Level of Service Ceiling</w:t>
      </w:r>
      <w:bookmarkEnd w:id="181"/>
      <w:bookmarkEnd w:id="182"/>
      <w:bookmarkEnd w:id="183"/>
      <w:bookmarkEnd w:id="184"/>
      <w:bookmarkEnd w:id="185"/>
      <w:bookmarkEnd w:id="186"/>
    </w:p>
    <w:p w14:paraId="72E59CBD" w14:textId="22719671" w:rsidR="00B91466" w:rsidRPr="00982558" w:rsidRDefault="00B91466" w:rsidP="00B91466">
      <w:pPr>
        <w:pStyle w:val="BodyText125"/>
      </w:pPr>
      <w:r w:rsidRPr="00982558">
        <w:t xml:space="preserve">This is designed to ensure that the increase in need included in </w:t>
      </w:r>
      <w:r w:rsidR="007A1C44">
        <w:t xml:space="preserve">section </w:t>
      </w:r>
      <w:r w:rsidRPr="00982558">
        <w:t xml:space="preserve">4.3 does “not include an increase that would result in the level of service </w:t>
      </w:r>
      <w:r w:rsidR="00BC00EB">
        <w:t>[</w:t>
      </w:r>
      <w:r w:rsidRPr="00982558">
        <w:t>for the additional development increment</w:t>
      </w:r>
      <w:r w:rsidR="00BC00EB">
        <w:t>]</w:t>
      </w:r>
      <w:r w:rsidRPr="00982558">
        <w:t xml:space="preserve"> exceeding the average level of the service provided in the </w:t>
      </w:r>
      <w:r w:rsidR="008356CA">
        <w:t>m</w:t>
      </w:r>
      <w:r w:rsidRPr="00982558">
        <w:t>unicipality over the 1</w:t>
      </w:r>
      <w:r w:rsidR="00B965A8">
        <w:t>5</w:t>
      </w:r>
      <w:r w:rsidRPr="00982558">
        <w:t>-year period immediately preceding the preparation of the background study”</w:t>
      </w:r>
      <w:r w:rsidR="00BC00EB">
        <w:t xml:space="preserve"> (D.C.A., subsection 5 (1) 4).</w:t>
      </w:r>
      <w:r w:rsidRPr="00982558">
        <w:t xml:space="preserve">  </w:t>
      </w:r>
      <w:r w:rsidR="003B194A">
        <w:t>O.</w:t>
      </w:r>
      <w:r w:rsidR="003B194A">
        <w:rPr>
          <w:noProof/>
        </w:rPr>
        <w:t> </w:t>
      </w:r>
      <w:r w:rsidR="003B194A">
        <w:t>Reg</w:t>
      </w:r>
      <w:r w:rsidRPr="00982558">
        <w:t>. 82</w:t>
      </w:r>
      <w:r w:rsidR="00BC00EB">
        <w:t>/</w:t>
      </w:r>
      <w:r w:rsidRPr="00982558">
        <w:t>98 (</w:t>
      </w:r>
      <w:r w:rsidR="0083059C">
        <w:t xml:space="preserve">section </w:t>
      </w:r>
      <w:r w:rsidRPr="00982558">
        <w:t>4) goes further to indicate that “both the quantity and quality of a service shall be taken into account in determining the level of service and the average level of service.”</w:t>
      </w:r>
    </w:p>
    <w:p w14:paraId="6DBAF6EB" w14:textId="77777777" w:rsidR="00B91466" w:rsidRDefault="00B91466" w:rsidP="00B91466">
      <w:pPr>
        <w:pStyle w:val="BodyText125"/>
      </w:pPr>
      <w:r w:rsidRPr="00982558">
        <w:t>In many cases, this can be done by establishing a quantity measure in terms of units as floor area, land area</w:t>
      </w:r>
      <w:r w:rsidR="00BC00EB">
        <w:t>,</w:t>
      </w:r>
      <w:r w:rsidRPr="00982558">
        <w:t xml:space="preserve"> or road length per capita and a quality measure, in terms of the average cost of providing such units based on replacement costs, engineering standards</w:t>
      </w:r>
      <w:r w:rsidR="00BC00EB">
        <w:t>,</w:t>
      </w:r>
      <w:r w:rsidRPr="00982558">
        <w:t xml:space="preserve"> or recognized performance measurement systems, depending on circumstances.  When the quantity and quality factor</w:t>
      </w:r>
      <w:r w:rsidR="00BC00EB">
        <w:t>s</w:t>
      </w:r>
      <w:r w:rsidRPr="00982558">
        <w:t xml:space="preserve"> are multiplied together, they produce a measure of the level of service, which meets the requirements of the Act, i.e. cost per unit.</w:t>
      </w:r>
    </w:p>
    <w:p w14:paraId="389F83BE" w14:textId="700C565C" w:rsidR="00B91466" w:rsidRPr="00982558" w:rsidRDefault="00B91466" w:rsidP="00B91466">
      <w:pPr>
        <w:pStyle w:val="BodyText125"/>
      </w:pPr>
      <w:r>
        <w:t xml:space="preserve">With respect to transit services, the changes to the Act </w:t>
      </w:r>
      <w:r w:rsidR="00B965A8">
        <w:t>introduced in 2015</w:t>
      </w:r>
      <w:r>
        <w:t xml:space="preserve"> have provided for an alternative method for calculating the service standard ceiling.  Transit services must now utilize a forward-looking service standard analysis, described later in this section.</w:t>
      </w:r>
    </w:p>
    <w:p w14:paraId="5A8DD8ED" w14:textId="77777777" w:rsidR="00B91466" w:rsidRPr="00982558" w:rsidRDefault="00B91466" w:rsidP="00B91466">
      <w:pPr>
        <w:pStyle w:val="BodyText125"/>
      </w:pPr>
      <w:r w:rsidRPr="00982558">
        <w:t xml:space="preserve">The average service level calculation sheets for each service component in the </w:t>
      </w:r>
      <w:r>
        <w:t>D.C.</w:t>
      </w:r>
      <w:r w:rsidRPr="00982558">
        <w:t xml:space="preserve"> calculation are set out in Appendix B.</w:t>
      </w:r>
    </w:p>
    <w:p w14:paraId="0EC7F230" w14:textId="77777777" w:rsidR="00B91466" w:rsidRPr="00B965A8" w:rsidRDefault="00B91466" w:rsidP="00B16524">
      <w:pPr>
        <w:pStyle w:val="Heading3"/>
        <w:numPr>
          <w:ilvl w:val="2"/>
          <w:numId w:val="3"/>
        </w:numPr>
      </w:pPr>
      <w:bookmarkStart w:id="187" w:name="_Toc494292991"/>
      <w:bookmarkStart w:id="188" w:name="_Toc520300727"/>
      <w:bookmarkStart w:id="189" w:name="_Toc520822923"/>
      <w:bookmarkStart w:id="190" w:name="_Toc520910968"/>
      <w:bookmarkStart w:id="191" w:name="_Toc520911349"/>
      <w:bookmarkStart w:id="192" w:name="_Toc154068768"/>
      <w:r w:rsidRPr="00B965A8">
        <w:t>Reduction for Uncommitted Excess Capacity</w:t>
      </w:r>
      <w:bookmarkEnd w:id="187"/>
      <w:bookmarkEnd w:id="188"/>
      <w:bookmarkEnd w:id="189"/>
      <w:bookmarkEnd w:id="190"/>
      <w:bookmarkEnd w:id="191"/>
      <w:bookmarkEnd w:id="192"/>
    </w:p>
    <w:p w14:paraId="27A2D91B" w14:textId="3E3C0ACB" w:rsidR="00B91466" w:rsidRPr="00B965A8" w:rsidRDefault="00B91466" w:rsidP="00B91466">
      <w:pPr>
        <w:pStyle w:val="BodyText125"/>
      </w:pPr>
      <w:r w:rsidRPr="00B965A8">
        <w:t xml:space="preserve">Paragraph 5 of </w:t>
      </w:r>
      <w:r w:rsidR="0083059C" w:rsidRPr="00B965A8">
        <w:t xml:space="preserve">subsection </w:t>
      </w:r>
      <w:r w:rsidRPr="00B965A8">
        <w:t>5</w:t>
      </w:r>
      <w:r w:rsidR="007A1C44" w:rsidRPr="00B965A8">
        <w:t xml:space="preserve"> </w:t>
      </w:r>
      <w:r w:rsidRPr="00B965A8">
        <w:t xml:space="preserve">(1) requires a deduction from the increase in the need for service attributable to the anticipated development that can be met using the </w:t>
      </w:r>
      <w:r w:rsidR="00A1355F" w:rsidRPr="00B965A8">
        <w:t>City</w:t>
      </w:r>
      <w:r w:rsidRPr="00B965A8">
        <w:t>’s “excess capacity,” other than excess capacity which is “committed</w:t>
      </w:r>
      <w:r w:rsidR="009115E1" w:rsidRPr="00B965A8">
        <w:t>.</w:t>
      </w:r>
      <w:r w:rsidRPr="00B965A8">
        <w:t>”</w:t>
      </w:r>
    </w:p>
    <w:p w14:paraId="2D6FA718" w14:textId="77777777" w:rsidR="00B91466" w:rsidRPr="00982558" w:rsidRDefault="00B91466" w:rsidP="00B91466">
      <w:pPr>
        <w:pStyle w:val="BodyText125"/>
      </w:pPr>
      <w:r w:rsidRPr="00B965A8">
        <w:t xml:space="preserve">“Excess capacity” is undefined, but in this case must be able to meet some or all of the increase in need for service, in order to potentially represent a deduction.  The deduction of </w:t>
      </w:r>
      <w:r w:rsidRPr="00B965A8">
        <w:rPr>
          <w:u w:val="single"/>
        </w:rPr>
        <w:t>uncommitted</w:t>
      </w:r>
      <w:r w:rsidRPr="00B965A8">
        <w:rPr>
          <w:i/>
          <w:u w:val="single"/>
        </w:rPr>
        <w:t xml:space="preserve"> </w:t>
      </w:r>
      <w:r w:rsidRPr="00B965A8">
        <w:t>excess capacity from the future increase in the need for service would normally occur as part of the conceptual planning and feasibility work associated with justifying and sizing new facilities, e.g. if a road widening to accommodate increased traffic is not required because sufficient excess capacity is already available, then widening would not be included as an increase in need, in the first instance.</w:t>
      </w:r>
    </w:p>
    <w:p w14:paraId="2F6A05BB" w14:textId="77777777" w:rsidR="00B91466" w:rsidRPr="00982558" w:rsidRDefault="00B91466" w:rsidP="00B16524">
      <w:pPr>
        <w:pStyle w:val="Heading3"/>
        <w:numPr>
          <w:ilvl w:val="2"/>
          <w:numId w:val="3"/>
        </w:numPr>
      </w:pPr>
      <w:bookmarkStart w:id="193" w:name="_Toc494292992"/>
      <w:bookmarkStart w:id="194" w:name="_Toc520300728"/>
      <w:bookmarkStart w:id="195" w:name="_Toc520822924"/>
      <w:bookmarkStart w:id="196" w:name="_Toc520910969"/>
      <w:bookmarkStart w:id="197" w:name="_Toc520911350"/>
      <w:bookmarkStart w:id="198" w:name="_Toc154068769"/>
      <w:r w:rsidRPr="00982558">
        <w:t>Reduction for Benefit to Existing Development</w:t>
      </w:r>
      <w:bookmarkEnd w:id="193"/>
      <w:bookmarkEnd w:id="194"/>
      <w:bookmarkEnd w:id="195"/>
      <w:bookmarkEnd w:id="196"/>
      <w:bookmarkEnd w:id="197"/>
      <w:bookmarkEnd w:id="198"/>
    </w:p>
    <w:p w14:paraId="116AB1C0" w14:textId="77777777" w:rsidR="00B91466" w:rsidRPr="00A629EF" w:rsidRDefault="00B91466" w:rsidP="00B91466">
      <w:pPr>
        <w:pStyle w:val="BodyText125"/>
      </w:pPr>
      <w:r w:rsidRPr="00A629EF">
        <w:t>Section 5</w:t>
      </w:r>
      <w:r w:rsidR="007E0F95">
        <w:t xml:space="preserve"> </w:t>
      </w:r>
      <w:r w:rsidRPr="00A629EF">
        <w:t>(1)</w:t>
      </w:r>
      <w:r w:rsidR="007E0F95">
        <w:t xml:space="preserve"> </w:t>
      </w:r>
      <w:r w:rsidRPr="00A629EF">
        <w:t>6 of the D.C.A. provides that</w:t>
      </w:r>
      <w:r>
        <w:t>,</w:t>
      </w:r>
      <w:r w:rsidRPr="00A629EF">
        <w:t xml:space="preserve"> “The increase in the need for service must be reduced by the extent to which an increase in service to meet the increased need would benefit existing development</w:t>
      </w:r>
      <w:r>
        <w:t>.</w:t>
      </w:r>
      <w:r w:rsidRPr="00A629EF">
        <w:t>”  The general guidelines used to consider</w:t>
      </w:r>
      <w:r>
        <w:t xml:space="preserve"> benefit to</w:t>
      </w:r>
      <w:r w:rsidRPr="00A629EF">
        <w:t xml:space="preserve"> </w:t>
      </w:r>
      <w:r>
        <w:t>e</w:t>
      </w:r>
      <w:r w:rsidRPr="00A629EF">
        <w:t>xisting development included:</w:t>
      </w:r>
    </w:p>
    <w:p w14:paraId="4531CBEC" w14:textId="77777777" w:rsidR="00B91466" w:rsidRDefault="00F90711" w:rsidP="00B91466">
      <w:pPr>
        <w:pStyle w:val="BodyTextbullets125"/>
      </w:pPr>
      <w:r>
        <w:t>t</w:t>
      </w:r>
      <w:r w:rsidR="00B91466" w:rsidRPr="00193D80">
        <w:t>he repair or unexpanded replacement of</w:t>
      </w:r>
      <w:r w:rsidR="00B91466" w:rsidRPr="00D13340">
        <w:t xml:space="preserve"> existing assets that are in need of repair;</w:t>
      </w:r>
      <w:r w:rsidR="007E0F95">
        <w:t xml:space="preserve"> </w:t>
      </w:r>
    </w:p>
    <w:p w14:paraId="2268E6EA" w14:textId="22E9A060" w:rsidR="00B91466" w:rsidRDefault="00F90711" w:rsidP="00B91466">
      <w:pPr>
        <w:pStyle w:val="BodyTextbullets125"/>
      </w:pPr>
      <w:r>
        <w:t>a</w:t>
      </w:r>
      <w:r w:rsidR="00B91466" w:rsidRPr="00D13340">
        <w:t>n increase in average service level of quantity or quality;</w:t>
      </w:r>
    </w:p>
    <w:p w14:paraId="2D6F721B" w14:textId="77777777" w:rsidR="00B91466" w:rsidRDefault="00F90711" w:rsidP="00B91466">
      <w:pPr>
        <w:pStyle w:val="BodyTextbullets125"/>
      </w:pPr>
      <w:r>
        <w:t>t</w:t>
      </w:r>
      <w:r w:rsidR="00B91466" w:rsidRPr="00D13340">
        <w:t>he elimination of a chronic servicing problem not</w:t>
      </w:r>
      <w:r w:rsidR="00B91466">
        <w:t xml:space="preserve"> </w:t>
      </w:r>
      <w:r w:rsidR="00B91466" w:rsidRPr="00193D80">
        <w:t>created by growth;</w:t>
      </w:r>
      <w:r w:rsidR="00B91466">
        <w:t xml:space="preserve"> and</w:t>
      </w:r>
    </w:p>
    <w:p w14:paraId="27793A25" w14:textId="77777777" w:rsidR="00B91466" w:rsidRDefault="00F90711" w:rsidP="00B91466">
      <w:pPr>
        <w:pStyle w:val="BodyTextbullets125"/>
      </w:pPr>
      <w:r>
        <w:t>p</w:t>
      </w:r>
      <w:r w:rsidR="00B91466" w:rsidRPr="00193D80">
        <w:t>roviding services where none previously</w:t>
      </w:r>
      <w:r w:rsidR="00B91466" w:rsidRPr="00D13340">
        <w:t xml:space="preserve"> existed (</w:t>
      </w:r>
      <w:r w:rsidR="00B91466">
        <w:t xml:space="preserve">generally considered for </w:t>
      </w:r>
      <w:r w:rsidR="00B91466" w:rsidRPr="00D13340">
        <w:t>water</w:t>
      </w:r>
      <w:r w:rsidR="00B91466">
        <w:t xml:space="preserve"> or wastewater</w:t>
      </w:r>
      <w:r w:rsidR="00B91466" w:rsidRPr="00D13340">
        <w:t xml:space="preserve"> service</w:t>
      </w:r>
      <w:r w:rsidR="00B91466">
        <w:t>s</w:t>
      </w:r>
      <w:r w:rsidR="00B91466" w:rsidRPr="00D13340">
        <w:t>).</w:t>
      </w:r>
    </w:p>
    <w:p w14:paraId="70B86A17" w14:textId="1A9B968B" w:rsidR="00B91466" w:rsidRPr="00982558" w:rsidRDefault="00B91466" w:rsidP="00B91466">
      <w:pPr>
        <w:pStyle w:val="BodyText125"/>
      </w:pPr>
      <w:r w:rsidRPr="00982558">
        <w:t>This step involves a further reduction in the need, by the extent to which such an increase in service would benefit existing development.  The level of service cap in</w:t>
      </w:r>
      <w:r w:rsidR="007A1C44">
        <w:t xml:space="preserve"> section</w:t>
      </w:r>
      <w:r w:rsidRPr="00982558">
        <w:t xml:space="preserve"> 4.</w:t>
      </w:r>
      <w:r w:rsidR="00926472">
        <w:t>9.1</w:t>
      </w:r>
      <w:r w:rsidRPr="00982558">
        <w:t xml:space="preserve"> is related but is not the identical requirement.  Sanitary, storm</w:t>
      </w:r>
      <w:r w:rsidR="00BC00EB">
        <w:t>,</w:t>
      </w:r>
      <w:r w:rsidRPr="00982558">
        <w:t xml:space="preserve"> and water trunks are highly localized to growth areas and can be more readily allocated in this regard than other services such as </w:t>
      </w:r>
      <w:r>
        <w:t>services related to a highway,</w:t>
      </w:r>
      <w:r w:rsidRPr="00982558">
        <w:t xml:space="preserve"> which do not have a fixed service area.</w:t>
      </w:r>
    </w:p>
    <w:p w14:paraId="6DCAED96" w14:textId="77777777" w:rsidR="00B91466" w:rsidRPr="00982558" w:rsidRDefault="00B91466" w:rsidP="00B91466">
      <w:pPr>
        <w:pStyle w:val="BodyText125"/>
      </w:pPr>
      <w:r w:rsidRPr="00982558">
        <w:t>Where existing development has an adequate service level which will not be tangibly increased by an increase in service, no benefit would appear to be involved.  For example, where expanding existing library facilities simply replicates what existing residents are receiving, they receive very limited (or no) benefit as a result.  On the other hand, where a clear existing service problem is to be remedied, a deduction should be made accordingly.</w:t>
      </w:r>
    </w:p>
    <w:p w14:paraId="1D098FCD" w14:textId="0C519AA9" w:rsidR="00B91466" w:rsidRPr="00982558" w:rsidRDefault="00B91466" w:rsidP="00B91466">
      <w:pPr>
        <w:pStyle w:val="BodyText125"/>
      </w:pPr>
      <w:r w:rsidRPr="00982558">
        <w:t xml:space="preserve">In the </w:t>
      </w:r>
      <w:r w:rsidRPr="00B965A8">
        <w:t xml:space="preserve">case of services such as recreation facilities, community parks, libraries, etc., the service is typically provided on a </w:t>
      </w:r>
      <w:r w:rsidR="00A1355F" w:rsidRPr="00B965A8">
        <w:t>City</w:t>
      </w:r>
      <w:r w:rsidRPr="00B965A8">
        <w:t>-wide system basis.  For example, facilities of the same type may provide different services (i.e. leisure</w:t>
      </w:r>
      <w:r w:rsidRPr="00982558">
        <w:t xml:space="preserve"> pool vs. competitive pool), different programs (i.e. hockey vs. figure skating)</w:t>
      </w:r>
      <w:r w:rsidR="00BC00EB">
        <w:t>,</w:t>
      </w:r>
      <w:r w:rsidRPr="00982558">
        <w:t xml:space="preserve"> and different time availability for the same service (i.e. leisure skating available on Wednesday</w:t>
      </w:r>
      <w:r w:rsidR="00BC00EB">
        <w:t>s</w:t>
      </w:r>
      <w:r w:rsidRPr="00982558">
        <w:t xml:space="preserve"> in one arena and Thursday</w:t>
      </w:r>
      <w:r w:rsidR="00BC00EB">
        <w:t>s</w:t>
      </w:r>
      <w:r w:rsidRPr="00982558">
        <w:t xml:space="preserve"> in another).  As a result, residents will travel to different facilities to access the services they want at the times they wish to use them, and facility location generally does not correlate directly with residence location.  Even where it does, displacing users from an existing facility to a new facility frees up </w:t>
      </w:r>
      <w:r>
        <w:t>capacity</w:t>
      </w:r>
      <w:r w:rsidRPr="00982558">
        <w:t xml:space="preserve"> for use by others and generally results in only a very limited benefit to existing development.  Further, where an increase in demand is not met for a number of years, a negative service impact to existing development is involved for a portion of the planning period.</w:t>
      </w:r>
    </w:p>
    <w:p w14:paraId="12DE6C24" w14:textId="77777777" w:rsidR="00B91466" w:rsidRPr="00982558" w:rsidRDefault="00B91466" w:rsidP="00B16524">
      <w:pPr>
        <w:pStyle w:val="Heading3"/>
        <w:numPr>
          <w:ilvl w:val="2"/>
          <w:numId w:val="3"/>
        </w:numPr>
      </w:pPr>
      <w:bookmarkStart w:id="199" w:name="_Toc494292993"/>
      <w:bookmarkStart w:id="200" w:name="_Toc520300729"/>
      <w:bookmarkStart w:id="201" w:name="_Toc520822925"/>
      <w:bookmarkStart w:id="202" w:name="_Toc520910970"/>
      <w:bookmarkStart w:id="203" w:name="_Toc520911351"/>
      <w:bookmarkStart w:id="204" w:name="_Toc154068770"/>
      <w:r w:rsidRPr="00982558">
        <w:t>Reduction for Anticipated Grants, Subsidies and Other Contributions</w:t>
      </w:r>
      <w:bookmarkEnd w:id="199"/>
      <w:bookmarkEnd w:id="200"/>
      <w:bookmarkEnd w:id="201"/>
      <w:bookmarkEnd w:id="202"/>
      <w:bookmarkEnd w:id="203"/>
      <w:bookmarkEnd w:id="204"/>
    </w:p>
    <w:p w14:paraId="79E74B2F" w14:textId="77777777" w:rsidR="00B91466" w:rsidRPr="00982558" w:rsidRDefault="00B91466" w:rsidP="00B91466">
      <w:pPr>
        <w:pStyle w:val="BodyText125"/>
      </w:pPr>
      <w:r w:rsidRPr="00982558">
        <w:t>This step involves reducing the capital costs necessary to provide the increased services by capital grants, subsidies</w:t>
      </w:r>
      <w:r w:rsidR="00BC00EB">
        <w:t>,</w:t>
      </w:r>
      <w:r w:rsidRPr="00982558">
        <w:t xml:space="preserve"> and other contributions</w:t>
      </w:r>
      <w:r>
        <w:t xml:space="preserve"> (including direct developer contributions required due to the local service policy)</w:t>
      </w:r>
      <w:r w:rsidRPr="00982558">
        <w:t xml:space="preserve"> made or anticipated by Council and in accordance with various rules such as the attribution between the share related to new vs. existing development.  That is, some grants and contributions may not specifically be applicable to growth or where Council targets fundraising as a measure to offset impacts on taxes (O.</w:t>
      </w:r>
      <w:r w:rsidR="003B194A">
        <w:rPr>
          <w:noProof/>
        </w:rPr>
        <w:t> </w:t>
      </w:r>
      <w:r w:rsidRPr="00982558">
        <w:t>Reg. 82</w:t>
      </w:r>
      <w:r w:rsidR="0083059C">
        <w:t>/</w:t>
      </w:r>
      <w:r w:rsidRPr="00982558">
        <w:t>98</w:t>
      </w:r>
      <w:r w:rsidR="00BC00EB">
        <w:t>,</w:t>
      </w:r>
      <w:r w:rsidRPr="00982558">
        <w:t xml:space="preserve"> </w:t>
      </w:r>
      <w:r w:rsidR="0083059C">
        <w:t xml:space="preserve">section </w:t>
      </w:r>
      <w:r w:rsidRPr="00982558">
        <w:t>6).</w:t>
      </w:r>
    </w:p>
    <w:p w14:paraId="13B2B966" w14:textId="77777777" w:rsidR="00B91466" w:rsidRDefault="00B91466" w:rsidP="00B16524">
      <w:pPr>
        <w:pStyle w:val="Heading2"/>
        <w:numPr>
          <w:ilvl w:val="1"/>
          <w:numId w:val="3"/>
        </w:numPr>
      </w:pPr>
      <w:bookmarkStart w:id="205" w:name="_Toc452386755"/>
      <w:bookmarkStart w:id="206" w:name="_Toc494292995"/>
      <w:bookmarkStart w:id="207" w:name="_Toc520300731"/>
      <w:bookmarkStart w:id="208" w:name="_Toc520822927"/>
      <w:bookmarkStart w:id="209" w:name="_Toc520910972"/>
      <w:bookmarkStart w:id="210" w:name="_Toc520911353"/>
      <w:bookmarkStart w:id="211" w:name="_Toc154068771"/>
      <w:r>
        <w:t>Municipal-</w:t>
      </w:r>
      <w:r w:rsidR="00C93A56">
        <w:t>w</w:t>
      </w:r>
      <w:r>
        <w:t>ide vs. Area Rating</w:t>
      </w:r>
      <w:bookmarkEnd w:id="205"/>
      <w:bookmarkEnd w:id="206"/>
      <w:bookmarkEnd w:id="207"/>
      <w:bookmarkEnd w:id="208"/>
      <w:bookmarkEnd w:id="209"/>
      <w:bookmarkEnd w:id="210"/>
      <w:bookmarkEnd w:id="211"/>
    </w:p>
    <w:p w14:paraId="4A7F295D" w14:textId="77777777" w:rsidR="00B91466" w:rsidRPr="00083F42" w:rsidRDefault="00B91466" w:rsidP="00B91466">
      <w:pPr>
        <w:pStyle w:val="BodyText125"/>
      </w:pPr>
      <w:r>
        <w:t xml:space="preserve">This step </w:t>
      </w:r>
      <w:r w:rsidRPr="00083F42">
        <w:t>involves determining whether all of the subject costs are to be recovered on a uniform municipal-wide basis or whether some or all are to be recovered on an area-specific basis.  Under the amended D.C.A., it is now mandatory to “consider” area</w:t>
      </w:r>
      <w:r w:rsidR="00BC00EB">
        <w:t xml:space="preserve"> </w:t>
      </w:r>
      <w:r w:rsidRPr="00083F42">
        <w:t>rating of services (providing charges for specific areas and services), however, it is not mandatory to implement area</w:t>
      </w:r>
      <w:r w:rsidR="00BC00EB">
        <w:t xml:space="preserve"> </w:t>
      </w:r>
      <w:r w:rsidRPr="00083F42">
        <w:t>rating</w:t>
      </w:r>
      <w:r>
        <w:t xml:space="preserve">.  Further </w:t>
      </w:r>
      <w:r w:rsidRPr="0007034B">
        <w:t>discussion is provided in section 7.4.4.</w:t>
      </w:r>
    </w:p>
    <w:p w14:paraId="0B62AE2E" w14:textId="77777777" w:rsidR="00B91466" w:rsidRDefault="00B91466" w:rsidP="00B16524">
      <w:pPr>
        <w:pStyle w:val="Heading2"/>
        <w:numPr>
          <w:ilvl w:val="1"/>
          <w:numId w:val="3"/>
        </w:numPr>
      </w:pPr>
      <w:bookmarkStart w:id="212" w:name="_Toc452386756"/>
      <w:bookmarkStart w:id="213" w:name="_Toc494292996"/>
      <w:bookmarkStart w:id="214" w:name="_Toc520300732"/>
      <w:bookmarkStart w:id="215" w:name="_Toc520822928"/>
      <w:bookmarkStart w:id="216" w:name="_Toc520910973"/>
      <w:bookmarkStart w:id="217" w:name="_Toc520911354"/>
      <w:bookmarkStart w:id="218" w:name="_Toc154068772"/>
      <w:r>
        <w:t>Allocation of Development</w:t>
      </w:r>
      <w:bookmarkEnd w:id="212"/>
      <w:bookmarkEnd w:id="213"/>
      <w:bookmarkEnd w:id="214"/>
      <w:bookmarkEnd w:id="215"/>
      <w:bookmarkEnd w:id="216"/>
      <w:bookmarkEnd w:id="217"/>
      <w:bookmarkEnd w:id="218"/>
    </w:p>
    <w:p w14:paraId="63C0C292" w14:textId="77777777" w:rsidR="00B91466" w:rsidRDefault="00B91466" w:rsidP="00B91466">
      <w:pPr>
        <w:pStyle w:val="BodyText125"/>
      </w:pPr>
      <w:r>
        <w:t xml:space="preserve">This step </w:t>
      </w:r>
      <w:r w:rsidRPr="00083F42">
        <w:t>involves relating the costs involved to anticipated development for each period under consideration and using allocations between residential and non-residential development and between one type of development and another, to arrive at a schedule of charges</w:t>
      </w:r>
      <w:r>
        <w:t>.</w:t>
      </w:r>
    </w:p>
    <w:p w14:paraId="74F54D27" w14:textId="77777777" w:rsidR="00B91466" w:rsidRDefault="00B91466" w:rsidP="00B16524">
      <w:pPr>
        <w:pStyle w:val="Heading2"/>
        <w:numPr>
          <w:ilvl w:val="1"/>
          <w:numId w:val="3"/>
        </w:numPr>
      </w:pPr>
      <w:bookmarkStart w:id="219" w:name="_Toc494292997"/>
      <w:bookmarkStart w:id="220" w:name="_Toc520300733"/>
      <w:bookmarkStart w:id="221" w:name="_Toc520822929"/>
      <w:bookmarkStart w:id="222" w:name="_Toc520910974"/>
      <w:bookmarkStart w:id="223" w:name="_Toc520911355"/>
      <w:bookmarkStart w:id="224" w:name="_Toc154068773"/>
      <w:r>
        <w:t>Asset Management</w:t>
      </w:r>
      <w:bookmarkEnd w:id="219"/>
      <w:bookmarkEnd w:id="220"/>
      <w:bookmarkEnd w:id="221"/>
      <w:bookmarkEnd w:id="222"/>
      <w:bookmarkEnd w:id="223"/>
      <w:bookmarkEnd w:id="224"/>
    </w:p>
    <w:p w14:paraId="019DC383" w14:textId="77777777" w:rsidR="00B91466" w:rsidRDefault="00B91466" w:rsidP="00B91466">
      <w:pPr>
        <w:pStyle w:val="BodyText125"/>
      </w:pPr>
      <w:r>
        <w:t xml:space="preserve">The new legislation now requires that a D.C. </w:t>
      </w:r>
      <w:r w:rsidR="000142CB">
        <w:t>b</w:t>
      </w:r>
      <w:r>
        <w:t xml:space="preserve">ackground </w:t>
      </w:r>
      <w:r w:rsidR="000142CB">
        <w:t>s</w:t>
      </w:r>
      <w:r>
        <w:t xml:space="preserve">tudy must include an </w:t>
      </w:r>
      <w:r w:rsidR="00BC00EB">
        <w:t xml:space="preserve">asset management plan (A.M.P.) </w:t>
      </w:r>
      <w:r w:rsidRPr="00584749">
        <w:t>(</w:t>
      </w:r>
      <w:r w:rsidR="00E16E86">
        <w:t xml:space="preserve">subsection </w:t>
      </w:r>
      <w:r w:rsidRPr="00584749">
        <w:t>10 (2)</w:t>
      </w:r>
      <w:r w:rsidR="007A1C44">
        <w:t xml:space="preserve"> </w:t>
      </w:r>
      <w:r w:rsidRPr="00584749">
        <w:t>c.</w:t>
      </w:r>
      <w:r w:rsidR="007A1C44">
        <w:t xml:space="preserve"> </w:t>
      </w:r>
      <w:r w:rsidRPr="00584749">
        <w:t>2)</w:t>
      </w:r>
      <w:r>
        <w:t xml:space="preserve">.  The </w:t>
      </w:r>
      <w:r w:rsidR="000142CB">
        <w:t xml:space="preserve">A.M.P. </w:t>
      </w:r>
      <w:r>
        <w:t xml:space="preserve">must deal with all assets that are proposed to be funded, in whole or in part, by D.C.s.  The current regulations provide very extensive and specific requirements for the </w:t>
      </w:r>
      <w:r w:rsidR="000142CB">
        <w:t>A.M.P.</w:t>
      </w:r>
      <w:r>
        <w:t xml:space="preserve"> related to transit services (as noted in the subsequent subsection)</w:t>
      </w:r>
      <w:r w:rsidR="006E3CA8">
        <w:t xml:space="preserve">; </w:t>
      </w:r>
      <w:r>
        <w:t>however,</w:t>
      </w:r>
      <w:r w:rsidR="006E3CA8">
        <w:t xml:space="preserve"> they</w:t>
      </w:r>
      <w:r>
        <w:t xml:space="preserve"> are silent with respect to how the </w:t>
      </w:r>
      <w:r w:rsidR="000142CB">
        <w:t>A.M.P.</w:t>
      </w:r>
      <w:r>
        <w:t xml:space="preserve"> is to be provided for all other services.  As part of any </w:t>
      </w:r>
      <w:r w:rsidR="000142CB">
        <w:t>A.M.P.</w:t>
      </w:r>
      <w:r>
        <w:t>, the examination should be consistent with the municipality’s existing assumptions, approaches</w:t>
      </w:r>
      <w:r w:rsidR="00F51D9A">
        <w:t>,</w:t>
      </w:r>
      <w:r>
        <w:t xml:space="preserve"> and policies on the asset management planning.  This examination has </w:t>
      </w:r>
      <w:r w:rsidRPr="0007034B">
        <w:t>been included in Appendix F.</w:t>
      </w:r>
    </w:p>
    <w:p w14:paraId="1C623343" w14:textId="77777777" w:rsidR="00B91466" w:rsidRDefault="00B91466" w:rsidP="00B16524">
      <w:pPr>
        <w:pStyle w:val="Heading2"/>
        <w:numPr>
          <w:ilvl w:val="1"/>
          <w:numId w:val="3"/>
        </w:numPr>
      </w:pPr>
      <w:bookmarkStart w:id="225" w:name="_Toc494292998"/>
      <w:bookmarkStart w:id="226" w:name="_Toc520300734"/>
      <w:bookmarkStart w:id="227" w:name="_Toc520822930"/>
      <w:bookmarkStart w:id="228" w:name="_Toc520910975"/>
      <w:bookmarkStart w:id="229" w:name="_Toc520911356"/>
      <w:bookmarkStart w:id="230" w:name="_Toc154068774"/>
      <w:r>
        <w:t>Transit</w:t>
      </w:r>
      <w:bookmarkEnd w:id="225"/>
      <w:bookmarkEnd w:id="226"/>
      <w:bookmarkEnd w:id="227"/>
      <w:bookmarkEnd w:id="228"/>
      <w:bookmarkEnd w:id="229"/>
      <w:bookmarkEnd w:id="230"/>
    </w:p>
    <w:p w14:paraId="7E554D6E" w14:textId="016ACA28" w:rsidR="00B91466" w:rsidRDefault="00B91466" w:rsidP="00B91466">
      <w:pPr>
        <w:pStyle w:val="BodyText125"/>
      </w:pPr>
      <w:r>
        <w:t xml:space="preserve">The most significant changes to the Act relate to the transit service.  These changes relate to four </w:t>
      </w:r>
      <w:r w:rsidR="008344BB">
        <w:t xml:space="preserve">(4) </w:t>
      </w:r>
      <w:r>
        <w:t>areas of the calculations, as follows:</w:t>
      </w:r>
    </w:p>
    <w:p w14:paraId="2988743A" w14:textId="77777777" w:rsidR="00B91466" w:rsidRDefault="00B91466" w:rsidP="00F43901">
      <w:pPr>
        <w:pStyle w:val="BodyText125"/>
        <w:numPr>
          <w:ilvl w:val="0"/>
          <w:numId w:val="12"/>
        </w:numPr>
      </w:pPr>
      <w:r>
        <w:t>Transit no longer requires the statutory 10% mandatory deduction from the net capital cost (</w:t>
      </w:r>
      <w:r w:rsidR="00E16E86">
        <w:t xml:space="preserve">subsection </w:t>
      </w:r>
      <w:r>
        <w:t>5.2</w:t>
      </w:r>
      <w:r w:rsidR="007A1C44">
        <w:t xml:space="preserve"> </w:t>
      </w:r>
      <w:r>
        <w:t>(i) of the D.C.A.).</w:t>
      </w:r>
    </w:p>
    <w:p w14:paraId="72DFAFA8" w14:textId="77777777" w:rsidR="00B91466" w:rsidRDefault="00B91466" w:rsidP="00F43901">
      <w:pPr>
        <w:pStyle w:val="BodyText125"/>
        <w:numPr>
          <w:ilvl w:val="0"/>
          <w:numId w:val="12"/>
        </w:numPr>
      </w:pPr>
      <w:r>
        <w:t xml:space="preserve">The </w:t>
      </w:r>
      <w:r w:rsidR="007A1C44">
        <w:t>b</w:t>
      </w:r>
      <w:r>
        <w:t xml:space="preserve">ackground </w:t>
      </w:r>
      <w:r w:rsidR="007A1C44">
        <w:t>s</w:t>
      </w:r>
      <w:r>
        <w:t xml:space="preserve">tudy requires the following in regard to transit costs (as per </w:t>
      </w:r>
      <w:r w:rsidR="00E16E86">
        <w:t xml:space="preserve">subsection </w:t>
      </w:r>
      <w:r>
        <w:t>8</w:t>
      </w:r>
      <w:r w:rsidR="007A1C44">
        <w:t xml:space="preserve"> </w:t>
      </w:r>
      <w:r>
        <w:t xml:space="preserve">(2) of the </w:t>
      </w:r>
      <w:r w:rsidR="00BC00EB">
        <w:t>r</w:t>
      </w:r>
      <w:r>
        <w:t>egulations):</w:t>
      </w:r>
    </w:p>
    <w:p w14:paraId="0A62B107" w14:textId="77777777" w:rsidR="00B91466" w:rsidRPr="00AB3512" w:rsidRDefault="00B91466" w:rsidP="00F43901">
      <w:pPr>
        <w:pStyle w:val="BodyText125"/>
        <w:numPr>
          <w:ilvl w:val="6"/>
          <w:numId w:val="13"/>
        </w:numPr>
        <w:ind w:left="1080"/>
      </w:pPr>
      <w:r w:rsidRPr="00AB3512">
        <w:t xml:space="preserve">The calculations that were used to prepare the estimate for the planned level of service for transit services, as mentioned in </w:t>
      </w:r>
      <w:r w:rsidR="00E16E86">
        <w:t xml:space="preserve">subsection </w:t>
      </w:r>
      <w:r w:rsidRPr="00AB3512">
        <w:t>5.2</w:t>
      </w:r>
      <w:r w:rsidR="007A1C44">
        <w:t xml:space="preserve"> </w:t>
      </w:r>
      <w:r w:rsidRPr="00AB3512">
        <w:t>(3) of the Act.</w:t>
      </w:r>
    </w:p>
    <w:p w14:paraId="072E09BA" w14:textId="77777777" w:rsidR="00B91466" w:rsidRPr="00AB3512" w:rsidRDefault="00B91466" w:rsidP="00F43901">
      <w:pPr>
        <w:pStyle w:val="BodyText125"/>
        <w:numPr>
          <w:ilvl w:val="0"/>
          <w:numId w:val="13"/>
        </w:numPr>
        <w:ind w:left="1080"/>
      </w:pPr>
      <w:r w:rsidRPr="00AB3512">
        <w:t>An identification of the portion of the total estimated capital cost relating to the transit services that would benefit,</w:t>
      </w:r>
    </w:p>
    <w:p w14:paraId="0C37D02F" w14:textId="77777777" w:rsidR="00B91466" w:rsidRPr="00AB3512" w:rsidRDefault="00B91466" w:rsidP="00F43901">
      <w:pPr>
        <w:pStyle w:val="BodyText125"/>
        <w:numPr>
          <w:ilvl w:val="0"/>
          <w:numId w:val="14"/>
        </w:numPr>
        <w:ind w:left="1800"/>
        <w:contextualSpacing/>
      </w:pPr>
      <w:r w:rsidRPr="00AB3512">
        <w:t>the anticipated development over the 10-year period immediately following the preparation of the background study, or</w:t>
      </w:r>
    </w:p>
    <w:p w14:paraId="543A439C" w14:textId="77777777" w:rsidR="00B91466" w:rsidRPr="00AB3512" w:rsidRDefault="00B91466" w:rsidP="00F43901">
      <w:pPr>
        <w:pStyle w:val="BodyText125"/>
        <w:numPr>
          <w:ilvl w:val="0"/>
          <w:numId w:val="14"/>
        </w:numPr>
        <w:ind w:left="1800"/>
      </w:pPr>
      <w:r w:rsidRPr="00AB3512">
        <w:t>the anticipated development after the 10-year period immediately following the preparation of the background study.</w:t>
      </w:r>
    </w:p>
    <w:p w14:paraId="5A409BC6" w14:textId="77777777" w:rsidR="00B91466" w:rsidRPr="00AB3512" w:rsidRDefault="00B91466" w:rsidP="00F43901">
      <w:pPr>
        <w:pStyle w:val="BodyText125"/>
        <w:numPr>
          <w:ilvl w:val="0"/>
          <w:numId w:val="13"/>
        </w:numPr>
        <w:ind w:left="1080"/>
      </w:pPr>
      <w:r w:rsidRPr="00AB3512">
        <w:t>An identification of the anticipated excess capacity that would exist at the end of the 10-year period immediately following the preparation of the background study.</w:t>
      </w:r>
    </w:p>
    <w:p w14:paraId="7BA4EE8A" w14:textId="77777777" w:rsidR="00B91466" w:rsidRPr="004D2206" w:rsidRDefault="00B91466" w:rsidP="00F43901">
      <w:pPr>
        <w:pStyle w:val="BodyText125"/>
        <w:numPr>
          <w:ilvl w:val="0"/>
          <w:numId w:val="13"/>
        </w:numPr>
        <w:ind w:left="1080"/>
      </w:pPr>
      <w:r w:rsidRPr="004D2206">
        <w:t xml:space="preserve">An assessment of ridership forecasts for all modes of transit services proposed to be funded by the </w:t>
      </w:r>
      <w:r w:rsidR="00BC00EB">
        <w:t xml:space="preserve">D.C. </w:t>
      </w:r>
      <w:r w:rsidRPr="004D2206">
        <w:t>over the 10-year period immediately following the preparation of the background study, categorized by development types, and whether the forecast ridership will be from existing or planned development.</w:t>
      </w:r>
    </w:p>
    <w:p w14:paraId="01602EC1" w14:textId="77777777" w:rsidR="00B91466" w:rsidRPr="004D2206" w:rsidRDefault="00B91466" w:rsidP="00F43901">
      <w:pPr>
        <w:pStyle w:val="BodyText125"/>
        <w:numPr>
          <w:ilvl w:val="0"/>
          <w:numId w:val="13"/>
        </w:numPr>
        <w:ind w:left="1080"/>
        <w:rPr>
          <w:sz w:val="20"/>
        </w:rPr>
      </w:pPr>
      <w:r w:rsidRPr="004D2206">
        <w:t>An assessment of the ridership capacity for all modes of transit services proposed to be funded by the development charge over the 10-year period immediately following the preparation of the background study.</w:t>
      </w:r>
    </w:p>
    <w:p w14:paraId="61EE5716" w14:textId="77777777" w:rsidR="00B91466" w:rsidRDefault="00B91466" w:rsidP="00F43901">
      <w:pPr>
        <w:pStyle w:val="BodyText125"/>
        <w:numPr>
          <w:ilvl w:val="0"/>
          <w:numId w:val="12"/>
        </w:numPr>
      </w:pPr>
      <w:r>
        <w:t>A new forward</w:t>
      </w:r>
      <w:r w:rsidR="00D47484">
        <w:t>-</w:t>
      </w:r>
      <w:r>
        <w:t xml:space="preserve">looking service standard (as per </w:t>
      </w:r>
      <w:r w:rsidR="00E16E86">
        <w:t xml:space="preserve">subsection </w:t>
      </w:r>
      <w:r>
        <w:t>6.1</w:t>
      </w:r>
      <w:r w:rsidR="007A1C44">
        <w:t xml:space="preserve"> </w:t>
      </w:r>
      <w:r>
        <w:t xml:space="preserve">(2) of the </w:t>
      </w:r>
      <w:r w:rsidR="00BC00EB">
        <w:t>r</w:t>
      </w:r>
      <w:r>
        <w:t>egulations)</w:t>
      </w:r>
      <w:r w:rsidR="00BC00EB">
        <w:t xml:space="preserve"> requires the following</w:t>
      </w:r>
      <w:r>
        <w:t>:</w:t>
      </w:r>
    </w:p>
    <w:p w14:paraId="0F8FD0F2" w14:textId="77777777" w:rsidR="00B91466" w:rsidRPr="00F42790" w:rsidRDefault="00B91466" w:rsidP="00F43901">
      <w:pPr>
        <w:pStyle w:val="BodyText125"/>
        <w:numPr>
          <w:ilvl w:val="0"/>
          <w:numId w:val="15"/>
        </w:numPr>
        <w:ind w:left="1080"/>
      </w:pPr>
      <w:r w:rsidRPr="00F42790">
        <w:t>The service is a discrete service.</w:t>
      </w:r>
    </w:p>
    <w:p w14:paraId="1B4F8CB6" w14:textId="77777777" w:rsidR="00B91466" w:rsidRPr="00F42790" w:rsidRDefault="00B91466" w:rsidP="00F43901">
      <w:pPr>
        <w:pStyle w:val="BodyText125"/>
        <w:numPr>
          <w:ilvl w:val="0"/>
          <w:numId w:val="15"/>
        </w:numPr>
        <w:ind w:left="1080"/>
      </w:pPr>
      <w:r w:rsidRPr="00F42790">
        <w:t>No portion of the service that is intended to benefit anticipated development after the 10-year period immediately following the preparation of the background study may be included in the estimate.</w:t>
      </w:r>
    </w:p>
    <w:p w14:paraId="55D5EFD1" w14:textId="77777777" w:rsidR="00B91466" w:rsidRPr="00F42790" w:rsidRDefault="00B91466" w:rsidP="00F43901">
      <w:pPr>
        <w:pStyle w:val="BodyText125"/>
        <w:numPr>
          <w:ilvl w:val="0"/>
          <w:numId w:val="15"/>
        </w:numPr>
        <w:ind w:left="1080"/>
      </w:pPr>
      <w:r w:rsidRPr="00F42790">
        <w:t>No portion of the service that is anticipated to exist as excess capacity at the end of the 10-year period immediately following the preparation of the background study may be included in the estimate.</w:t>
      </w:r>
    </w:p>
    <w:p w14:paraId="0B5E0CA1" w14:textId="77777777" w:rsidR="00B91466" w:rsidRPr="0007034B" w:rsidRDefault="00B91466" w:rsidP="00F43901">
      <w:pPr>
        <w:pStyle w:val="BodyText125"/>
        <w:numPr>
          <w:ilvl w:val="0"/>
          <w:numId w:val="12"/>
        </w:numPr>
      </w:pPr>
      <w:r>
        <w:t>A very detailed asset management strategy and reporting requirements (</w:t>
      </w:r>
      <w:r w:rsidR="00E16E86">
        <w:t xml:space="preserve">subsection </w:t>
      </w:r>
      <w:r>
        <w:t>6.1</w:t>
      </w:r>
      <w:r w:rsidR="007A1C44">
        <w:t xml:space="preserve"> </w:t>
      </w:r>
      <w:r>
        <w:t xml:space="preserve">(3) of the </w:t>
      </w:r>
      <w:r w:rsidR="008205BE">
        <w:t>regulation</w:t>
      </w:r>
      <w:r>
        <w:t xml:space="preserve">) that includes lifecycle costs, action plans that will enable the assets to be sustainable, </w:t>
      </w:r>
      <w:r w:rsidR="00BC00EB">
        <w:t xml:space="preserve">a </w:t>
      </w:r>
      <w:r>
        <w:t xml:space="preserve">summary of how to achieve the </w:t>
      </w:r>
      <w:r w:rsidRPr="0007034B">
        <w:t>proposed level of service, discussion on procurement measures and ris</w:t>
      </w:r>
      <w:r w:rsidR="00BC00EB" w:rsidRPr="0007034B">
        <w:t>k are required</w:t>
      </w:r>
      <w:r w:rsidRPr="0007034B">
        <w:t xml:space="preserve">. </w:t>
      </w:r>
    </w:p>
    <w:p w14:paraId="684EF4BF" w14:textId="51D01472" w:rsidR="00821EDC" w:rsidRDefault="0007034B" w:rsidP="00B91466">
      <w:pPr>
        <w:pStyle w:val="BodyText125"/>
        <w:rPr>
          <w:noProof/>
        </w:rPr>
      </w:pPr>
      <w:r>
        <w:t>Currently, transit services are provided at the Regional level</w:t>
      </w:r>
      <w:r w:rsidR="00B91466" w:rsidRPr="0007034B">
        <w:t>.  Therefore, the above calculation and reporting requirements are not required</w:t>
      </w:r>
      <w:r w:rsidR="008344BB">
        <w:t xml:space="preserve"> for the purposes of this D.C. study</w:t>
      </w:r>
      <w:r w:rsidR="00B91466" w:rsidRPr="0007034B">
        <w:rPr>
          <w:noProof/>
        </w:rPr>
        <w:t>.</w:t>
      </w:r>
    </w:p>
    <w:p w14:paraId="1E776CA7" w14:textId="77777777" w:rsidR="0007034B" w:rsidRDefault="0007034B" w:rsidP="0007034B">
      <w:pPr>
        <w:pStyle w:val="Heading2"/>
        <w:rPr>
          <w:noProof/>
        </w:rPr>
      </w:pPr>
      <w:bookmarkStart w:id="231" w:name="_Toc154068775"/>
      <w:r>
        <w:rPr>
          <w:noProof/>
        </w:rPr>
        <w:t>Mandatory Phase-in of a D.C.</w:t>
      </w:r>
      <w:bookmarkEnd w:id="231"/>
    </w:p>
    <w:p w14:paraId="37D19C5C" w14:textId="77777777" w:rsidR="0007034B" w:rsidRDefault="0007034B" w:rsidP="0007034B">
      <w:pPr>
        <w:pStyle w:val="BodyText125"/>
        <w:rPr>
          <w:lang w:eastAsia="ja-JP"/>
        </w:rPr>
      </w:pPr>
      <w:r>
        <w:rPr>
          <w:lang w:eastAsia="ja-JP"/>
        </w:rPr>
        <w:t>For all by-laws passed after January 1, 2022, the charge must be phased-in relative to the maximum charge that could be imposed under the by-law.  The phase-in for the first 5-years that the by-law is in force, is as follows:</w:t>
      </w:r>
    </w:p>
    <w:p w14:paraId="7F685879" w14:textId="1FCF2F28" w:rsidR="0007034B" w:rsidRDefault="0007034B" w:rsidP="0007034B">
      <w:pPr>
        <w:pStyle w:val="BodyTextbullets125"/>
        <w:rPr>
          <w:lang w:eastAsia="ja-JP"/>
        </w:rPr>
      </w:pPr>
      <w:r>
        <w:rPr>
          <w:lang w:eastAsia="ja-JP"/>
        </w:rPr>
        <w:t>Year 1 – 80% of the maximum charge;</w:t>
      </w:r>
    </w:p>
    <w:p w14:paraId="61171F1A" w14:textId="231B3673" w:rsidR="0007034B" w:rsidRDefault="0007034B" w:rsidP="0007034B">
      <w:pPr>
        <w:pStyle w:val="BodyTextbullets125"/>
        <w:rPr>
          <w:lang w:eastAsia="ja-JP"/>
        </w:rPr>
      </w:pPr>
      <w:r>
        <w:rPr>
          <w:lang w:eastAsia="ja-JP"/>
        </w:rPr>
        <w:t>Year 2 – 85% of the maximum charge;</w:t>
      </w:r>
    </w:p>
    <w:p w14:paraId="4F11201B" w14:textId="6A5D1F97" w:rsidR="0007034B" w:rsidRDefault="0007034B" w:rsidP="0007034B">
      <w:pPr>
        <w:pStyle w:val="BodyTextbullets125"/>
        <w:rPr>
          <w:lang w:eastAsia="ja-JP"/>
        </w:rPr>
      </w:pPr>
      <w:r>
        <w:rPr>
          <w:lang w:eastAsia="ja-JP"/>
        </w:rPr>
        <w:t>Year 3 – 90% of the maximum charge;</w:t>
      </w:r>
    </w:p>
    <w:p w14:paraId="5F0988B8" w14:textId="23330809" w:rsidR="0007034B" w:rsidRDefault="0007034B" w:rsidP="0007034B">
      <w:pPr>
        <w:pStyle w:val="BodyTextbullets125"/>
        <w:rPr>
          <w:lang w:eastAsia="ja-JP"/>
        </w:rPr>
      </w:pPr>
      <w:r>
        <w:rPr>
          <w:lang w:eastAsia="ja-JP"/>
        </w:rPr>
        <w:t>Year 4 – 95% of the maximum charge; and</w:t>
      </w:r>
    </w:p>
    <w:p w14:paraId="1870FD1F" w14:textId="77777777" w:rsidR="0007034B" w:rsidRDefault="0007034B" w:rsidP="0007034B">
      <w:pPr>
        <w:pStyle w:val="BodyTextbullets125"/>
        <w:rPr>
          <w:lang w:eastAsia="ja-JP"/>
        </w:rPr>
      </w:pPr>
      <w:r>
        <w:rPr>
          <w:lang w:eastAsia="ja-JP"/>
        </w:rPr>
        <w:t>Year 5 to expiry – 100% of the maximum charge.</w:t>
      </w:r>
    </w:p>
    <w:p w14:paraId="32173EF3" w14:textId="5C4EC67B" w:rsidR="00280982" w:rsidRPr="0007034B" w:rsidRDefault="00280982" w:rsidP="00280982">
      <w:pPr>
        <w:pStyle w:val="BodyText125"/>
        <w:rPr>
          <w:lang w:eastAsia="ja-JP"/>
        </w:rPr>
        <w:sectPr w:rsidR="00280982" w:rsidRPr="0007034B" w:rsidSect="003633CA">
          <w:footnotePr>
            <w:numRestart w:val="eachPage"/>
          </w:footnotePr>
          <w:pgSz w:w="12240" w:h="15840" w:code="1"/>
          <w:pgMar w:top="1440" w:right="1440" w:bottom="1440" w:left="1440" w:header="432" w:footer="619" w:gutter="0"/>
          <w:pgNumType w:chapStyle="1"/>
          <w:cols w:space="708"/>
          <w:titlePg/>
          <w:docGrid w:linePitch="360"/>
        </w:sectPr>
      </w:pPr>
      <w:r>
        <w:rPr>
          <w:lang w:eastAsia="ja-JP"/>
        </w:rPr>
        <w:t>As noted in Section 1.4, as of the time of writing, the Province has announced (on December 13, 2023) potential changes to the phased-in requirements.  The details of these changes will be forthcoming in early 2024 and Watson will monitor and advise as to the nature of these changes.</w:t>
      </w:r>
    </w:p>
    <w:p w14:paraId="40D6CE8A" w14:textId="77777777" w:rsidR="00B91466" w:rsidRPr="00821EDC" w:rsidRDefault="00821EDC" w:rsidP="006A7162">
      <w:pPr>
        <w:pStyle w:val="ChapterDividers"/>
        <w:sectPr w:rsidR="00B91466" w:rsidRPr="00821EDC" w:rsidSect="00B34091">
          <w:footerReference w:type="default" r:id="rId58"/>
          <w:footerReference w:type="first" r:id="rId59"/>
          <w:footnotePr>
            <w:numRestart w:val="eachPage"/>
          </w:footnotePr>
          <w:pgSz w:w="12240" w:h="15840" w:code="1"/>
          <w:pgMar w:top="1440" w:right="1440" w:bottom="1440" w:left="1440" w:header="432" w:footer="619" w:gutter="0"/>
          <w:pgNumType w:start="1" w:chapStyle="1"/>
          <w:cols w:space="708"/>
          <w:docGrid w:linePitch="360"/>
        </w:sectPr>
      </w:pPr>
      <w:bookmarkStart w:id="232" w:name="_Toc520822931"/>
      <w:bookmarkStart w:id="233" w:name="_Toc520910976"/>
      <w:bookmarkStart w:id="234" w:name="_Toc520911357"/>
      <w:r w:rsidRPr="00821EDC">
        <w:t>Chapter 5</w:t>
      </w:r>
      <w:r w:rsidR="00620725">
        <w:t xml:space="preserve"> </w:t>
      </w:r>
      <w:r w:rsidR="00620725">
        <w:br/>
      </w:r>
      <w:r w:rsidRPr="00DC5440">
        <w:rPr>
          <w:rStyle w:val="ChapterDividersTitleChar"/>
          <w:color w:val="000000"/>
        </w:rPr>
        <w:t>D.C.-Eligible Cost Analysis by Service</w:t>
      </w:r>
      <w:bookmarkEnd w:id="232"/>
      <w:bookmarkEnd w:id="233"/>
      <w:bookmarkEnd w:id="234"/>
    </w:p>
    <w:p w14:paraId="0BBE4AF2" w14:textId="77777777" w:rsidR="005C382D" w:rsidRPr="00174968" w:rsidRDefault="00C93A56" w:rsidP="00F5670B">
      <w:pPr>
        <w:pStyle w:val="Heading1"/>
        <w:rPr>
          <w:noProof/>
        </w:rPr>
      </w:pPr>
      <w:bookmarkStart w:id="235" w:name="_Toc520822932"/>
      <w:bookmarkStart w:id="236" w:name="_Toc520910977"/>
      <w:bookmarkStart w:id="237" w:name="_Toc520911358"/>
      <w:bookmarkStart w:id="238" w:name="_Toc154068776"/>
      <w:r>
        <w:t>D.C.-Eligible Cost Analysis by Service</w:t>
      </w:r>
      <w:bookmarkEnd w:id="235"/>
      <w:bookmarkEnd w:id="236"/>
      <w:bookmarkEnd w:id="237"/>
      <w:bookmarkEnd w:id="238"/>
    </w:p>
    <w:p w14:paraId="1E4DCBFB" w14:textId="77777777" w:rsidR="00C93A56" w:rsidRPr="00982558" w:rsidRDefault="00C93A56" w:rsidP="00B16524">
      <w:pPr>
        <w:pStyle w:val="Heading2"/>
        <w:numPr>
          <w:ilvl w:val="1"/>
          <w:numId w:val="3"/>
        </w:numPr>
        <w:rPr>
          <w:smallCaps/>
          <w:szCs w:val="23"/>
        </w:rPr>
      </w:pPr>
      <w:bookmarkStart w:id="239" w:name="_Toc494293000"/>
      <w:bookmarkStart w:id="240" w:name="_Toc520300737"/>
      <w:bookmarkStart w:id="241" w:name="_Toc520822933"/>
      <w:bookmarkStart w:id="242" w:name="_Toc520910978"/>
      <w:bookmarkStart w:id="243" w:name="_Toc520911359"/>
      <w:bookmarkStart w:id="244" w:name="_Toc154068777"/>
      <w:r w:rsidRPr="00982558">
        <w:t>Introduction</w:t>
      </w:r>
      <w:bookmarkEnd w:id="239"/>
      <w:bookmarkEnd w:id="240"/>
      <w:bookmarkEnd w:id="241"/>
      <w:bookmarkEnd w:id="242"/>
      <w:bookmarkEnd w:id="243"/>
      <w:bookmarkEnd w:id="244"/>
    </w:p>
    <w:p w14:paraId="29971A27" w14:textId="427F3805" w:rsidR="00C93A56" w:rsidRPr="0007034B" w:rsidRDefault="00C93A56" w:rsidP="00C93A56">
      <w:pPr>
        <w:pStyle w:val="BodyText125"/>
      </w:pPr>
      <w:r w:rsidRPr="0007034B">
        <w:t xml:space="preserve">This chapter outlines the basis for calculating eligible costs for the D.C.s to be applied on a uniform basis.  In each case, the required calculation process set out in </w:t>
      </w:r>
      <w:r w:rsidR="00E16E86" w:rsidRPr="0007034B">
        <w:t xml:space="preserve">subsection </w:t>
      </w:r>
      <w:r w:rsidRPr="0007034B">
        <w:t>5</w:t>
      </w:r>
      <w:r w:rsidR="00E16E86" w:rsidRPr="0007034B">
        <w:t xml:space="preserve"> </w:t>
      </w:r>
      <w:r w:rsidRPr="0007034B">
        <w:t xml:space="preserve">(1) paragraphs 2 to </w:t>
      </w:r>
      <w:r w:rsidR="00A978A2">
        <w:t>7</w:t>
      </w:r>
      <w:r w:rsidRPr="0007034B">
        <w:t xml:space="preserve"> in the D.C.A. and described in Chapter 4 was followed in determining D.C.</w:t>
      </w:r>
      <w:r w:rsidR="007A1C44" w:rsidRPr="0007034B">
        <w:t>-</w:t>
      </w:r>
      <w:r w:rsidRPr="0007034B">
        <w:t>eligible costs.</w:t>
      </w:r>
    </w:p>
    <w:p w14:paraId="24D305F6" w14:textId="25950211" w:rsidR="00C93A56" w:rsidRPr="0007034B" w:rsidRDefault="00C93A56" w:rsidP="00C93A56">
      <w:pPr>
        <w:pStyle w:val="BodyText125"/>
      </w:pPr>
      <w:r w:rsidRPr="0007034B">
        <w:t xml:space="preserve">The nature of the capital projects and timing identified in the Chapter reflects Council’s current intention.  </w:t>
      </w:r>
      <w:r w:rsidR="007A1C44" w:rsidRPr="0007034B">
        <w:t>O</w:t>
      </w:r>
      <w:r w:rsidRPr="0007034B">
        <w:t xml:space="preserve">ver time, </w:t>
      </w:r>
      <w:r w:rsidR="007A1C44" w:rsidRPr="0007034B">
        <w:t xml:space="preserve">however, </w:t>
      </w:r>
      <w:r w:rsidR="00A1355F" w:rsidRPr="0007034B">
        <w:t>City</w:t>
      </w:r>
      <w:r w:rsidRPr="0007034B">
        <w:t xml:space="preserve"> projects and Council priorities change</w:t>
      </w:r>
      <w:r w:rsidR="00E05CF5" w:rsidRPr="0007034B">
        <w:t>; a</w:t>
      </w:r>
      <w:r w:rsidRPr="0007034B">
        <w:t>ccordingly</w:t>
      </w:r>
      <w:r w:rsidR="00E05CF5" w:rsidRPr="0007034B">
        <w:t>,</w:t>
      </w:r>
      <w:r w:rsidRPr="0007034B">
        <w:t xml:space="preserve"> Council’s intentions may alter</w:t>
      </w:r>
      <w:r w:rsidR="00A978A2">
        <w:t>,</w:t>
      </w:r>
      <w:r w:rsidRPr="0007034B">
        <w:t xml:space="preserve"> and different capital projects (and timing) may be </w:t>
      </w:r>
      <w:r w:rsidR="00E05CF5" w:rsidRPr="0007034B">
        <w:t xml:space="preserve">necessary </w:t>
      </w:r>
      <w:r w:rsidRPr="0007034B">
        <w:t>to meet the need for services required by new growth.</w:t>
      </w:r>
    </w:p>
    <w:p w14:paraId="4E988642" w14:textId="77777777" w:rsidR="00C93A56" w:rsidRPr="0007034B" w:rsidRDefault="00C93A56" w:rsidP="00B16524">
      <w:pPr>
        <w:pStyle w:val="Heading2"/>
        <w:numPr>
          <w:ilvl w:val="1"/>
          <w:numId w:val="3"/>
        </w:numPr>
        <w:rPr>
          <w:smallCaps/>
          <w:szCs w:val="23"/>
        </w:rPr>
      </w:pPr>
      <w:bookmarkStart w:id="245" w:name="_Toc494293001"/>
      <w:bookmarkStart w:id="246" w:name="_Toc520300738"/>
      <w:bookmarkStart w:id="247" w:name="_Toc520822934"/>
      <w:bookmarkStart w:id="248" w:name="_Toc520910979"/>
      <w:bookmarkStart w:id="249" w:name="_Toc520911360"/>
      <w:bookmarkStart w:id="250" w:name="_Toc154068778"/>
      <w:r w:rsidRPr="0007034B">
        <w:t>Service Levels and 10-Year Capital Costs for D.C. Calculation</w:t>
      </w:r>
      <w:bookmarkEnd w:id="245"/>
      <w:bookmarkEnd w:id="246"/>
      <w:bookmarkEnd w:id="247"/>
      <w:bookmarkEnd w:id="248"/>
      <w:bookmarkEnd w:id="249"/>
      <w:bookmarkEnd w:id="250"/>
    </w:p>
    <w:p w14:paraId="4C636E4A" w14:textId="654013BE" w:rsidR="00C93A56" w:rsidRPr="00F365D6" w:rsidRDefault="00C93A56" w:rsidP="00C93A56">
      <w:pPr>
        <w:pStyle w:val="BodyText125"/>
      </w:pPr>
      <w:r w:rsidRPr="0007034B">
        <w:t xml:space="preserve">This section evaluates the development-related capital requirements for services </w:t>
      </w:r>
      <w:r w:rsidR="00A978A2">
        <w:t>related to a highway,</w:t>
      </w:r>
      <w:r w:rsidR="00B34091">
        <w:t xml:space="preserve"> public works,</w:t>
      </w:r>
      <w:r w:rsidR="00A978A2">
        <w:t xml:space="preserve"> fire protection services, parks and recreation services, </w:t>
      </w:r>
      <w:r w:rsidR="00B34091">
        <w:t xml:space="preserve">and </w:t>
      </w:r>
      <w:r w:rsidR="00A978A2">
        <w:t>library service</w:t>
      </w:r>
      <w:r w:rsidR="00B34091">
        <w:t>s</w:t>
      </w:r>
      <w:r w:rsidR="00A978A2">
        <w:t xml:space="preserve"> </w:t>
      </w:r>
      <w:r w:rsidRPr="0007034B">
        <w:t>over a 10-year planning period.  Each service component is evaluated on two format sheets:  the average historical 1</w:t>
      </w:r>
      <w:r w:rsidR="00A978A2">
        <w:t>5</w:t>
      </w:r>
      <w:r w:rsidRPr="0007034B">
        <w:t xml:space="preserve">-year level of service calculation (see Appendix B), which “caps” the D.C. amounts; and, the infrastructure cost calculation, </w:t>
      </w:r>
      <w:r w:rsidRPr="00F365D6">
        <w:t xml:space="preserve">which determines the potential D.C. recoverable cost. </w:t>
      </w:r>
    </w:p>
    <w:p w14:paraId="4132775A" w14:textId="77777777" w:rsidR="00B34091" w:rsidRPr="00810A5C" w:rsidRDefault="00B34091" w:rsidP="00B34091">
      <w:pPr>
        <w:pStyle w:val="Heading3"/>
        <w:numPr>
          <w:ilvl w:val="2"/>
          <w:numId w:val="3"/>
        </w:numPr>
      </w:pPr>
      <w:bookmarkStart w:id="251" w:name="_Toc494293017"/>
      <w:bookmarkStart w:id="252" w:name="_Toc520300754"/>
      <w:bookmarkStart w:id="253" w:name="_Toc520822950"/>
      <w:bookmarkStart w:id="254" w:name="_Toc520910995"/>
      <w:bookmarkStart w:id="255" w:name="_Toc520911376"/>
      <w:bookmarkStart w:id="256" w:name="_Toc494293006"/>
      <w:bookmarkStart w:id="257" w:name="_Toc520300743"/>
      <w:bookmarkStart w:id="258" w:name="_Toc520822939"/>
      <w:bookmarkStart w:id="259" w:name="_Toc520910984"/>
      <w:bookmarkStart w:id="260" w:name="_Toc520911365"/>
      <w:bookmarkStart w:id="261" w:name="_Toc154068779"/>
      <w:r w:rsidRPr="00810A5C">
        <w:t>Services Related to a Highway</w:t>
      </w:r>
      <w:bookmarkEnd w:id="251"/>
      <w:bookmarkEnd w:id="252"/>
      <w:bookmarkEnd w:id="253"/>
      <w:bookmarkEnd w:id="254"/>
      <w:bookmarkEnd w:id="255"/>
      <w:bookmarkEnd w:id="261"/>
    </w:p>
    <w:p w14:paraId="07996457" w14:textId="401515F4" w:rsidR="00F365D6" w:rsidRDefault="00F365D6" w:rsidP="00B34091">
      <w:pPr>
        <w:pStyle w:val="BodyText125"/>
      </w:pPr>
      <w:r>
        <w:t>The City of Cambridge currently owns and maintains:</w:t>
      </w:r>
    </w:p>
    <w:p w14:paraId="14ABBFB6" w14:textId="77777777" w:rsidR="00F365D6" w:rsidRDefault="00F365D6" w:rsidP="00F365D6">
      <w:pPr>
        <w:pStyle w:val="BodyTextbullets125"/>
      </w:pPr>
      <w:r>
        <w:t>0.56 km of arterial roads;</w:t>
      </w:r>
    </w:p>
    <w:p w14:paraId="74BC2291" w14:textId="3ED4F4F5" w:rsidR="00F365D6" w:rsidRDefault="00F365D6" w:rsidP="00F365D6">
      <w:pPr>
        <w:pStyle w:val="BodyTextbullets125"/>
      </w:pPr>
      <w:r>
        <w:t>14.60 km of major rural collector roads;</w:t>
      </w:r>
    </w:p>
    <w:p w14:paraId="5D9E0233" w14:textId="0FC067F5" w:rsidR="00F365D6" w:rsidRDefault="00F365D6" w:rsidP="00F365D6">
      <w:pPr>
        <w:pStyle w:val="BodyTextbullets125"/>
      </w:pPr>
      <w:r>
        <w:t>12.70 km of minor rural collector roads;</w:t>
      </w:r>
    </w:p>
    <w:p w14:paraId="1732271B" w14:textId="71BA1D11" w:rsidR="00F365D6" w:rsidRDefault="00F365D6" w:rsidP="00F365D6">
      <w:pPr>
        <w:pStyle w:val="BodyTextbullets125"/>
      </w:pPr>
      <w:r>
        <w:t>60.90 km of major urban collector roads;</w:t>
      </w:r>
    </w:p>
    <w:p w14:paraId="14E4D279" w14:textId="5DC0A98D" w:rsidR="00F365D6" w:rsidRDefault="00F365D6" w:rsidP="00F365D6">
      <w:pPr>
        <w:pStyle w:val="BodyTextbullets125"/>
      </w:pPr>
      <w:r>
        <w:t>70.40 km of minor urban collector roads;</w:t>
      </w:r>
    </w:p>
    <w:p w14:paraId="75F76656" w14:textId="75FED039" w:rsidR="00F365D6" w:rsidRDefault="00F365D6" w:rsidP="00F365D6">
      <w:pPr>
        <w:pStyle w:val="BodyTextbullets125"/>
      </w:pPr>
      <w:r>
        <w:t>6 bridges;</w:t>
      </w:r>
    </w:p>
    <w:p w14:paraId="17F53BD8" w14:textId="518023E7" w:rsidR="00F365D6" w:rsidRDefault="00F365D6" w:rsidP="00F365D6">
      <w:pPr>
        <w:pStyle w:val="BodyTextbullets125"/>
      </w:pPr>
      <w:r>
        <w:t>23 culverts;</w:t>
      </w:r>
    </w:p>
    <w:p w14:paraId="3B9E78FC" w14:textId="78142ED7" w:rsidR="00F365D6" w:rsidRDefault="00F365D6" w:rsidP="00F365D6">
      <w:pPr>
        <w:pStyle w:val="BodyTextbullets125"/>
      </w:pPr>
      <w:r>
        <w:t>66 retaining walls; and</w:t>
      </w:r>
    </w:p>
    <w:p w14:paraId="3D6D87F5" w14:textId="660B21A2" w:rsidR="00F365D6" w:rsidRDefault="00F365D6" w:rsidP="00F365D6">
      <w:pPr>
        <w:pStyle w:val="BodyTextbullets125"/>
      </w:pPr>
      <w:r>
        <w:t>84.93 lane km of active transportation.</w:t>
      </w:r>
    </w:p>
    <w:p w14:paraId="481996B4" w14:textId="73353955" w:rsidR="00B34091" w:rsidRDefault="00F365D6" w:rsidP="00B34091">
      <w:pPr>
        <w:pStyle w:val="BodyText125"/>
      </w:pPr>
      <w:r>
        <w:t>The level of service provided over the historical 15-year period translates to an average investment of $</w:t>
      </w:r>
      <w:r w:rsidR="008126B7">
        <w:t xml:space="preserve">9,081 </w:t>
      </w:r>
      <w:r w:rsidR="00B637CD">
        <w:t xml:space="preserve">per capita and a maximum D.C. eligible amount of approximately </w:t>
      </w:r>
      <w:r w:rsidR="00B637CD" w:rsidRPr="008126B7">
        <w:t>$</w:t>
      </w:r>
      <w:r w:rsidR="008126B7">
        <w:t>213</w:t>
      </w:r>
      <w:r w:rsidR="008126B7" w:rsidRPr="008126B7">
        <w:t>.</w:t>
      </w:r>
      <w:r w:rsidR="008126B7">
        <w:t>40</w:t>
      </w:r>
      <w:r w:rsidR="00B637CD">
        <w:t xml:space="preserve"> million for recovery over the forecast period</w:t>
      </w:r>
      <w:r w:rsidR="00B34091">
        <w:t>.</w:t>
      </w:r>
      <w:r w:rsidR="00B34091" w:rsidRPr="004D563C">
        <w:t xml:space="preserve">  </w:t>
      </w:r>
    </w:p>
    <w:p w14:paraId="18B75D85" w14:textId="115E66FD" w:rsidR="00B34091" w:rsidRDefault="00B637CD" w:rsidP="00B34091">
      <w:pPr>
        <w:pStyle w:val="BodyText125"/>
      </w:pPr>
      <w:r>
        <w:t>The City has identified future capital needs totaling approximately $</w:t>
      </w:r>
      <w:r w:rsidR="006F2801">
        <w:t>149.31</w:t>
      </w:r>
      <w:r>
        <w:t xml:space="preserve"> million, of which approximately $</w:t>
      </w:r>
      <w:r w:rsidR="006F2801">
        <w:t>25</w:t>
      </w:r>
      <w:r w:rsidR="008126B7">
        <w:t>.</w:t>
      </w:r>
      <w:r w:rsidR="006F2801">
        <w:t>37</w:t>
      </w:r>
      <w:r>
        <w:t xml:space="preserve"> million is attributable to existing development.  These capital projects include</w:t>
      </w:r>
      <w:r w:rsidR="00810A5C">
        <w:t xml:space="preserve"> road and bridge construction, road widenings, etc.  A deduction of approxima</w:t>
      </w:r>
      <w:r w:rsidR="00810A5C" w:rsidRPr="008126B7">
        <w:t>tely $</w:t>
      </w:r>
      <w:r w:rsidR="006F2801">
        <w:t>27.62</w:t>
      </w:r>
      <w:r w:rsidR="00810A5C" w:rsidRPr="008126B7">
        <w:t xml:space="preserve"> million has</w:t>
      </w:r>
      <w:r w:rsidR="00810A5C">
        <w:t xml:space="preserve"> been made for the share of the projects that benefit growth outside of the forecast period.  </w:t>
      </w:r>
      <w:r w:rsidR="00FE7E33">
        <w:t xml:space="preserve">Further, approximately $50.02 million has been included to account for </w:t>
      </w:r>
      <w:r w:rsidR="00722F08">
        <w:t>existing debt (growth-related principal and discounted growth-related interest), approved but not yet issued debt (growth-related principal and discounted growth-related interest), and future debt amounts (discounted growth-related interest).</w:t>
      </w:r>
      <w:r w:rsidR="00FE7E33">
        <w:t xml:space="preserve"> </w:t>
      </w:r>
      <w:r w:rsidR="00722F08">
        <w:t xml:space="preserve"> </w:t>
      </w:r>
      <w:r w:rsidR="00810A5C">
        <w:t xml:space="preserve">Additionally, </w:t>
      </w:r>
      <w:r w:rsidR="008126B7">
        <w:t xml:space="preserve">the existing reserve fund balance of </w:t>
      </w:r>
      <w:r w:rsidR="00810A5C">
        <w:t>$</w:t>
      </w:r>
      <w:r w:rsidR="006F2801">
        <w:t>7.12</w:t>
      </w:r>
      <w:r w:rsidR="00810A5C">
        <w:t xml:space="preserve"> million has been </w:t>
      </w:r>
      <w:r w:rsidR="008126B7">
        <w:t>deducted from the calculations.  In total</w:t>
      </w:r>
      <w:r w:rsidR="00810A5C">
        <w:t>,</w:t>
      </w:r>
      <w:r w:rsidR="008126B7">
        <w:t xml:space="preserve"> the net</w:t>
      </w:r>
      <w:r w:rsidR="00810A5C">
        <w:t xml:space="preserve"> </w:t>
      </w:r>
      <w:r w:rsidR="008126B7">
        <w:t>D</w:t>
      </w:r>
      <w:r w:rsidR="00810A5C">
        <w:t>.</w:t>
      </w:r>
      <w:r w:rsidR="008126B7">
        <w:t>C. recoverable amount included in the D.C. calculation is approximately $</w:t>
      </w:r>
      <w:r w:rsidR="006F2801">
        <w:t>132</w:t>
      </w:r>
      <w:r w:rsidR="008126B7">
        <w:t>.</w:t>
      </w:r>
      <w:r w:rsidR="006F2801">
        <w:t xml:space="preserve">22 </w:t>
      </w:r>
      <w:r w:rsidR="008126B7">
        <w:t>million.</w:t>
      </w:r>
    </w:p>
    <w:p w14:paraId="4D8B80E5" w14:textId="2A758484" w:rsidR="00B34091" w:rsidRDefault="00B34091" w:rsidP="00B34091">
      <w:pPr>
        <w:pStyle w:val="BodyText125"/>
        <w:rPr>
          <w:szCs w:val="22"/>
        </w:rPr>
        <w:sectPr w:rsidR="00B34091" w:rsidSect="00B34091">
          <w:footnotePr>
            <w:numRestart w:val="eachPage"/>
          </w:footnotePr>
          <w:pgSz w:w="12240" w:h="15840" w:code="1"/>
          <w:pgMar w:top="720" w:right="1440" w:bottom="720" w:left="1440" w:header="720" w:footer="720" w:gutter="0"/>
          <w:pgNumType w:start="1" w:chapStyle="1"/>
          <w:cols w:space="720"/>
          <w:formProt w:val="0"/>
          <w:noEndnote/>
          <w:titlePg/>
          <w:docGrid w:linePitch="326"/>
        </w:sectPr>
      </w:pPr>
      <w:r>
        <w:rPr>
          <w:szCs w:val="22"/>
        </w:rPr>
        <w:t xml:space="preserve">The residential/non-residential </w:t>
      </w:r>
      <w:r w:rsidR="003E00D8">
        <w:rPr>
          <w:szCs w:val="22"/>
        </w:rPr>
        <w:t xml:space="preserve">capital cost </w:t>
      </w:r>
      <w:r>
        <w:rPr>
          <w:szCs w:val="22"/>
        </w:rPr>
        <w:t xml:space="preserve">allocation for </w:t>
      </w:r>
      <w:r w:rsidR="003E00D8">
        <w:rPr>
          <w:szCs w:val="22"/>
        </w:rPr>
        <w:t>s</w:t>
      </w:r>
      <w:r>
        <w:rPr>
          <w:szCs w:val="22"/>
        </w:rPr>
        <w:t xml:space="preserve">ervices related to a highway, is based on the </w:t>
      </w:r>
      <w:r w:rsidR="003E00D8">
        <w:rPr>
          <w:szCs w:val="22"/>
        </w:rPr>
        <w:t>ratio of the anticipated population and employment growth over the forecast period</w:t>
      </w:r>
      <w:r>
        <w:rPr>
          <w:szCs w:val="22"/>
        </w:rPr>
        <w:t>.</w:t>
      </w:r>
      <w:r w:rsidR="003E00D8">
        <w:rPr>
          <w:szCs w:val="22"/>
        </w:rPr>
        <w:t xml:space="preserve">  This results in 69% being allocated to residential development and 31% to non-residential development.</w:t>
      </w:r>
    </w:p>
    <w:p w14:paraId="7CF58942" w14:textId="729FAA00" w:rsidR="003E00D8" w:rsidRDefault="003E00D8" w:rsidP="00B34091">
      <w:pPr>
        <w:pStyle w:val="FigureTableTitles"/>
      </w:pPr>
      <w:r>
        <w:t>Table 5-1</w:t>
      </w:r>
    </w:p>
    <w:p w14:paraId="1175A49C" w14:textId="10639BFB" w:rsidR="003E00D8" w:rsidRDefault="003E00D8" w:rsidP="00B34091">
      <w:pPr>
        <w:pStyle w:val="FigureTableTitles"/>
      </w:pPr>
      <w:r>
        <w:t>Infrastructure Cost Included in the Development Charges Calculation</w:t>
      </w:r>
    </w:p>
    <w:p w14:paraId="00E56896" w14:textId="31AF45C9" w:rsidR="003E00D8" w:rsidRDefault="003E00D8" w:rsidP="00B34091">
      <w:pPr>
        <w:pStyle w:val="FigureTableTitles"/>
      </w:pPr>
      <w:r>
        <w:t>Services Related to a Highway</w:t>
      </w:r>
    </w:p>
    <w:p w14:paraId="6FBCDE42" w14:textId="3A7360ED" w:rsidR="006F2801" w:rsidRDefault="006F2801" w:rsidP="007A4683">
      <w:pPr>
        <w:pStyle w:val="BodyText125"/>
        <w:jc w:val="center"/>
      </w:pPr>
      <w:r w:rsidRPr="006F2801">
        <w:rPr>
          <w:noProof/>
        </w:rPr>
        <w:drawing>
          <wp:inline distT="0" distB="0" distL="0" distR="0" wp14:anchorId="4BAC62C7" wp14:editId="58D7A3DB">
            <wp:extent cx="8583930" cy="4597768"/>
            <wp:effectExtent l="0" t="0" r="7620" b="0"/>
            <wp:docPr id="10490565" name="Picture 13" descr="This table outlines the capital needs for services related to a hig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565" name="Picture 13" descr="This table outlines the capital needs for services related to a highwa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89098" cy="4600536"/>
                    </a:xfrm>
                    <a:prstGeom prst="rect">
                      <a:avLst/>
                    </a:prstGeom>
                    <a:noFill/>
                    <a:ln>
                      <a:noFill/>
                    </a:ln>
                  </pic:spPr>
                </pic:pic>
              </a:graphicData>
            </a:graphic>
          </wp:inline>
        </w:drawing>
      </w:r>
      <w:r>
        <w:br w:type="page"/>
      </w:r>
    </w:p>
    <w:p w14:paraId="568B4B94" w14:textId="1CB53B9E" w:rsidR="008126B7" w:rsidRDefault="008126B7" w:rsidP="006F2801">
      <w:pPr>
        <w:pStyle w:val="FigureTableTitles"/>
      </w:pPr>
      <w:r>
        <w:t>Table 5-1 (Cont’d)</w:t>
      </w:r>
    </w:p>
    <w:p w14:paraId="38DF4F39" w14:textId="77777777" w:rsidR="008126B7" w:rsidRDefault="008126B7" w:rsidP="006F2801">
      <w:pPr>
        <w:pStyle w:val="FigureTableTitles"/>
      </w:pPr>
      <w:r>
        <w:t>Infrastructure Cost Included in the Development Charges Calculation</w:t>
      </w:r>
    </w:p>
    <w:p w14:paraId="626FE4E4" w14:textId="77777777" w:rsidR="007A4683" w:rsidRPr="007A4683" w:rsidRDefault="008126B7" w:rsidP="007A4683">
      <w:pPr>
        <w:pStyle w:val="FigureTableTitles"/>
      </w:pPr>
      <w:r w:rsidRPr="007A4683">
        <w:t>Services Related to a Highway</w:t>
      </w:r>
    </w:p>
    <w:p w14:paraId="5DBC4B01" w14:textId="51772269" w:rsidR="00B34091" w:rsidRDefault="006F2801" w:rsidP="007A4683">
      <w:pPr>
        <w:pStyle w:val="BodyText125"/>
        <w:jc w:val="center"/>
      </w:pPr>
      <w:r w:rsidRPr="006F2801">
        <w:rPr>
          <w:noProof/>
        </w:rPr>
        <w:drawing>
          <wp:inline distT="0" distB="0" distL="0" distR="0" wp14:anchorId="4A857881" wp14:editId="568E0C8B">
            <wp:extent cx="9144000" cy="3938270"/>
            <wp:effectExtent l="0" t="0" r="0" b="5080"/>
            <wp:docPr id="1357598311" name="Picture 14" descr="This table outlines the capital needs for services related to a highway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598311" name="Picture 14" descr="This table outlines the capital needs for services related to a highway continu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44000" cy="3938270"/>
                    </a:xfrm>
                    <a:prstGeom prst="rect">
                      <a:avLst/>
                    </a:prstGeom>
                    <a:noFill/>
                    <a:ln>
                      <a:noFill/>
                    </a:ln>
                  </pic:spPr>
                </pic:pic>
              </a:graphicData>
            </a:graphic>
          </wp:inline>
        </w:drawing>
      </w:r>
      <w:r w:rsidR="00B34091">
        <w:br w:type="page"/>
      </w:r>
    </w:p>
    <w:p w14:paraId="1B965562" w14:textId="01D01EE1" w:rsidR="00B34091" w:rsidRDefault="00B34091" w:rsidP="00B34091">
      <w:pPr>
        <w:pStyle w:val="FigureTableTitles"/>
        <w:sectPr w:rsidR="00B34091" w:rsidSect="00430425">
          <w:footnotePr>
            <w:numRestart w:val="eachPage"/>
          </w:footnotePr>
          <w:pgSz w:w="15840" w:h="12240" w:orient="landscape" w:code="1"/>
          <w:pgMar w:top="1440" w:right="720" w:bottom="1440" w:left="720" w:header="720" w:footer="720" w:gutter="0"/>
          <w:pgNumType w:chapStyle="1"/>
          <w:cols w:space="720"/>
          <w:formProt w:val="0"/>
          <w:noEndnote/>
          <w:titlePg/>
          <w:docGrid w:linePitch="326"/>
        </w:sectPr>
      </w:pPr>
    </w:p>
    <w:p w14:paraId="4F2500BD" w14:textId="55E083DA" w:rsidR="00B34091" w:rsidRPr="004D563C" w:rsidRDefault="00B34091" w:rsidP="00B34091">
      <w:pPr>
        <w:pStyle w:val="Heading3"/>
        <w:numPr>
          <w:ilvl w:val="2"/>
          <w:numId w:val="3"/>
        </w:numPr>
      </w:pPr>
      <w:bookmarkStart w:id="262" w:name="_Toc494293018"/>
      <w:bookmarkStart w:id="263" w:name="_Toc520300755"/>
      <w:bookmarkStart w:id="264" w:name="_Toc520822951"/>
      <w:bookmarkStart w:id="265" w:name="_Toc520910996"/>
      <w:bookmarkStart w:id="266" w:name="_Toc520911377"/>
      <w:bookmarkStart w:id="267" w:name="_Toc154068780"/>
      <w:r>
        <w:t xml:space="preserve">Public Works Facilities, Fleet </w:t>
      </w:r>
      <w:r w:rsidR="00DD73F3">
        <w:t>and</w:t>
      </w:r>
      <w:r>
        <w:t xml:space="preserve"> Equipment</w:t>
      </w:r>
      <w:bookmarkEnd w:id="262"/>
      <w:bookmarkEnd w:id="263"/>
      <w:bookmarkEnd w:id="264"/>
      <w:bookmarkEnd w:id="265"/>
      <w:bookmarkEnd w:id="266"/>
      <w:bookmarkEnd w:id="267"/>
    </w:p>
    <w:p w14:paraId="5A78937C" w14:textId="6E537E1F" w:rsidR="004762D3" w:rsidRDefault="00B34091" w:rsidP="00B34091">
      <w:pPr>
        <w:pStyle w:val="BodyText125"/>
      </w:pPr>
      <w:r w:rsidRPr="00FC04E6">
        <w:t xml:space="preserve">The </w:t>
      </w:r>
      <w:r w:rsidR="004762D3">
        <w:t>City operates its Public Works service out of a number of facilities totaling 68,295 sq.m of building area.  The average level of service provided over the historical 15-year period is approximately 0.50 sq.m per capita, which equates to an investment of $1,072 per capita.  This level of service provides the City with a maximum D.C.-eligible amount for recovery over the forecast period of $25.19 million.</w:t>
      </w:r>
    </w:p>
    <w:p w14:paraId="09652ACA" w14:textId="2A4EA8EA" w:rsidR="00B34091" w:rsidRPr="007D4627" w:rsidRDefault="00C25305" w:rsidP="00B34091">
      <w:pPr>
        <w:pStyle w:val="BodyText125"/>
      </w:pPr>
      <w:r>
        <w:t>The Public Works Department has a variety of vehicles and major equipment, such as single and tandem axle trucks, loader, pick up trucks, etc.  These vehicles and equipment total approximately $25.92 million</w:t>
      </w:r>
      <w:r w:rsidR="00B34091" w:rsidRPr="007D4627">
        <w:t>.</w:t>
      </w:r>
      <w:r>
        <w:t xml:space="preserve">  The inventory provided over the historical 15-year period equates to a per capita standard of $202.  Over the forecast period, the D.C.-eligible amount for vehicles and equipment is $4.75 million.</w:t>
      </w:r>
      <w:r w:rsidR="00B34091" w:rsidRPr="007D4627">
        <w:t xml:space="preserve"> </w:t>
      </w:r>
    </w:p>
    <w:p w14:paraId="09273FBC" w14:textId="7B49B2D2" w:rsidR="00B34091" w:rsidRDefault="00C25305" w:rsidP="00B34091">
      <w:pPr>
        <w:pStyle w:val="BodyText125"/>
      </w:pPr>
      <w:r>
        <w:t>In total, the D.C.-eligible amount for recovery for Public Works services is approximately $29.95 million</w:t>
      </w:r>
      <w:r w:rsidR="00B34091" w:rsidRPr="00FC04E6">
        <w:t xml:space="preserve">.  </w:t>
      </w:r>
    </w:p>
    <w:p w14:paraId="41C4B330" w14:textId="01C02D98" w:rsidR="00B34091" w:rsidRPr="006252BD" w:rsidRDefault="00390D8E" w:rsidP="00B34091">
      <w:pPr>
        <w:pStyle w:val="BodyText125"/>
      </w:pPr>
      <w:r w:rsidRPr="00390D8E">
        <w:t>The Bishop St. Works building has been</w:t>
      </w:r>
      <w:r w:rsidR="00B34091" w:rsidRPr="00390D8E">
        <w:t xml:space="preserve"> identified for expansion</w:t>
      </w:r>
      <w:r w:rsidR="00946637">
        <w:t xml:space="preserve"> and t</w:t>
      </w:r>
      <w:r w:rsidRPr="00390D8E">
        <w:t xml:space="preserve">hree (3) </w:t>
      </w:r>
      <w:r w:rsidR="00946637">
        <w:t xml:space="preserve">additionally facilities </w:t>
      </w:r>
      <w:r w:rsidRPr="00390D8E">
        <w:t>(South East Parks, North Cambridge, and the Snow Storage facility)</w:t>
      </w:r>
      <w:r>
        <w:t xml:space="preserve"> have been identified for construction</w:t>
      </w:r>
      <w:r w:rsidR="00946637">
        <w:t xml:space="preserve"> over the forecast period</w:t>
      </w:r>
      <w:r>
        <w:t>.  Additionally, the City has identified the need to add vehicles and equipment.</w:t>
      </w:r>
      <w:r w:rsidR="00B34091" w:rsidRPr="00390D8E">
        <w:t xml:space="preserve"> </w:t>
      </w:r>
      <w:r>
        <w:t xml:space="preserve"> These additions include a mower, trailer, tractors, sidewalk grinder, etc.  The total estimated capital cost of the projects identified is</w:t>
      </w:r>
      <w:r w:rsidR="004C78DA">
        <w:t xml:space="preserve"> approximately</w:t>
      </w:r>
      <w:r>
        <w:t xml:space="preserve"> $</w:t>
      </w:r>
      <w:r w:rsidR="004C78DA">
        <w:t>49</w:t>
      </w:r>
      <w:r>
        <w:t>.</w:t>
      </w:r>
      <w:r w:rsidR="006F2801">
        <w:t xml:space="preserve">49 </w:t>
      </w:r>
      <w:r>
        <w:t>million, of which $24.29 million is attributable to existing development</w:t>
      </w:r>
      <w:r w:rsidR="00946637">
        <w:t xml:space="preserve"> arising from the replacement of existing facility space</w:t>
      </w:r>
      <w:r>
        <w:t xml:space="preserve">.  </w:t>
      </w:r>
      <w:r w:rsidR="00946637">
        <w:t>T</w:t>
      </w:r>
      <w:r w:rsidR="00560FC9">
        <w:t xml:space="preserve">he </w:t>
      </w:r>
      <w:r w:rsidR="00946637">
        <w:t>adjusted</w:t>
      </w:r>
      <w:r w:rsidR="00560FC9">
        <w:t xml:space="preserve"> reserve fund balance of $3.</w:t>
      </w:r>
      <w:r w:rsidR="006F2801">
        <w:t xml:space="preserve">11 </w:t>
      </w:r>
      <w:r w:rsidR="00560FC9">
        <w:t>million has been deducted from the calculations.  In total, the net D.C. recoverable amount included in the D.C. calculation is approximately $</w:t>
      </w:r>
      <w:r w:rsidR="006F2801">
        <w:t>22</w:t>
      </w:r>
      <w:r w:rsidR="00946637">
        <w:t>.</w:t>
      </w:r>
      <w:r w:rsidR="006F2801">
        <w:t xml:space="preserve">08 </w:t>
      </w:r>
      <w:r w:rsidR="00560FC9">
        <w:t>million</w:t>
      </w:r>
      <w:r>
        <w:t>.</w:t>
      </w:r>
    </w:p>
    <w:p w14:paraId="321B1281" w14:textId="10CEA161" w:rsidR="00B34091" w:rsidRDefault="00B34091" w:rsidP="00B34091">
      <w:pPr>
        <w:pStyle w:val="BodyText125"/>
        <w:sectPr w:rsidR="00B34091" w:rsidSect="00430425">
          <w:footnotePr>
            <w:numRestart w:val="eachPage"/>
          </w:footnotePr>
          <w:pgSz w:w="12240" w:h="15840" w:code="1"/>
          <w:pgMar w:top="720" w:right="1440" w:bottom="720" w:left="1440" w:header="720" w:footer="720" w:gutter="0"/>
          <w:pgNumType w:chapStyle="1"/>
          <w:cols w:space="720"/>
          <w:formProt w:val="0"/>
          <w:noEndnote/>
          <w:titlePg/>
          <w:docGrid w:linePitch="326"/>
        </w:sectPr>
      </w:pPr>
      <w:r>
        <w:t xml:space="preserve">The residential/non-residential capital cost allocation for </w:t>
      </w:r>
      <w:r w:rsidR="00390D8E">
        <w:t>public works</w:t>
      </w:r>
      <w:r>
        <w:t xml:space="preserve"> is based on </w:t>
      </w:r>
      <w:r w:rsidR="00D8443D">
        <w:t xml:space="preserve">the ratio of the anticipated population and employment growth over the forecast period.  This results in </w:t>
      </w:r>
      <w:r>
        <w:t>6</w:t>
      </w:r>
      <w:r w:rsidR="00D8443D">
        <w:t>9</w:t>
      </w:r>
      <w:r>
        <w:t>%</w:t>
      </w:r>
      <w:r w:rsidR="00D8443D">
        <w:t xml:space="preserve"> being allocated to residential development and 31% to non-residential development.</w:t>
      </w:r>
      <w:r>
        <w:t xml:space="preserve">  </w:t>
      </w:r>
    </w:p>
    <w:p w14:paraId="5A103398" w14:textId="77777777" w:rsidR="00DD73F3" w:rsidRDefault="00DD73F3" w:rsidP="00B34091">
      <w:pPr>
        <w:pStyle w:val="FigureTableTitles"/>
      </w:pPr>
      <w:r>
        <w:t>Table 5-2</w:t>
      </w:r>
    </w:p>
    <w:p w14:paraId="26042901" w14:textId="77777777" w:rsidR="00DD73F3" w:rsidRDefault="00DD73F3" w:rsidP="00B34091">
      <w:pPr>
        <w:pStyle w:val="FigureTableTitles"/>
      </w:pPr>
      <w:r>
        <w:t>Infrastructure Cost Included in the Development Charges Calculation</w:t>
      </w:r>
    </w:p>
    <w:p w14:paraId="5D95F4D6" w14:textId="77777777" w:rsidR="00560FC9" w:rsidRDefault="00DD73F3" w:rsidP="00B34091">
      <w:pPr>
        <w:pStyle w:val="FigureTableTitles"/>
      </w:pPr>
      <w:r>
        <w:t>Public Works Facilities, Fleet and Equipment</w:t>
      </w:r>
    </w:p>
    <w:p w14:paraId="53A19F13" w14:textId="0BB2074D" w:rsidR="00B34091" w:rsidRDefault="0041578B" w:rsidP="00560FC9">
      <w:pPr>
        <w:pStyle w:val="BodyText125"/>
        <w:jc w:val="center"/>
      </w:pPr>
      <w:r w:rsidRPr="0041578B">
        <w:rPr>
          <w:noProof/>
        </w:rPr>
        <w:drawing>
          <wp:inline distT="0" distB="0" distL="0" distR="0" wp14:anchorId="753D317E" wp14:editId="546209C7">
            <wp:extent cx="9144000" cy="4062095"/>
            <wp:effectExtent l="0" t="0" r="0" b="0"/>
            <wp:docPr id="1465317800" name="Picture 15" descr="This table outlines the capital needs for public works facilities, fleet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17800" name="Picture 15" descr="This table outlines the capital needs for public works facilities, fleet and equipme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00" cy="4062095"/>
                    </a:xfrm>
                    <a:prstGeom prst="rect">
                      <a:avLst/>
                    </a:prstGeom>
                    <a:noFill/>
                    <a:ln>
                      <a:noFill/>
                    </a:ln>
                  </pic:spPr>
                </pic:pic>
              </a:graphicData>
            </a:graphic>
          </wp:inline>
        </w:drawing>
      </w:r>
      <w:r w:rsidR="00946637" w:rsidRPr="00946637">
        <w:t xml:space="preserve"> </w:t>
      </w:r>
      <w:r w:rsidR="00B34091">
        <w:br w:type="page"/>
      </w:r>
    </w:p>
    <w:p w14:paraId="20A4015A" w14:textId="7115EBA5" w:rsidR="00560FC9" w:rsidRDefault="00560FC9" w:rsidP="00560FC9">
      <w:pPr>
        <w:pStyle w:val="FigureTableTitles"/>
      </w:pPr>
      <w:r>
        <w:t>Table 5-2 (Cont’d)</w:t>
      </w:r>
    </w:p>
    <w:p w14:paraId="4ED490B1" w14:textId="77777777" w:rsidR="00560FC9" w:rsidRDefault="00560FC9" w:rsidP="00560FC9">
      <w:pPr>
        <w:pStyle w:val="FigureTableTitles"/>
      </w:pPr>
      <w:r>
        <w:t>Infrastructure Cost Included in the Development Charges Calculation</w:t>
      </w:r>
    </w:p>
    <w:p w14:paraId="5F11B272" w14:textId="77777777" w:rsidR="00560FC9" w:rsidRDefault="00560FC9" w:rsidP="00560FC9">
      <w:pPr>
        <w:pStyle w:val="FigureTableTitles"/>
      </w:pPr>
      <w:r>
        <w:t>Public Works Facilities, Fleet and Equipment</w:t>
      </w:r>
    </w:p>
    <w:p w14:paraId="7A608F4A" w14:textId="24E8F3D6" w:rsidR="00B34091" w:rsidRDefault="0041578B" w:rsidP="00560FC9">
      <w:pPr>
        <w:pStyle w:val="BodyText125"/>
        <w:jc w:val="center"/>
      </w:pPr>
      <w:r w:rsidRPr="0041578B">
        <w:rPr>
          <w:noProof/>
        </w:rPr>
        <w:drawing>
          <wp:inline distT="0" distB="0" distL="0" distR="0" wp14:anchorId="6F1322A0" wp14:editId="5D79DE1F">
            <wp:extent cx="9144000" cy="2588895"/>
            <wp:effectExtent l="0" t="0" r="0" b="1905"/>
            <wp:docPr id="2116295079" name="Picture 16" descr="This table outlines the capital needs for public works facilities, fleet and equipment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95079" name="Picture 16" descr="This table outlines the capital needs for public works facilities, fleet and equipment continu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44000" cy="2588895"/>
                    </a:xfrm>
                    <a:prstGeom prst="rect">
                      <a:avLst/>
                    </a:prstGeom>
                    <a:noFill/>
                    <a:ln>
                      <a:noFill/>
                    </a:ln>
                  </pic:spPr>
                </pic:pic>
              </a:graphicData>
            </a:graphic>
          </wp:inline>
        </w:drawing>
      </w:r>
      <w:r w:rsidR="00946637" w:rsidRPr="00946637">
        <w:t xml:space="preserve"> </w:t>
      </w:r>
      <w:r w:rsidR="00B34091">
        <w:br w:type="page"/>
      </w:r>
    </w:p>
    <w:p w14:paraId="6565FF98" w14:textId="7A7C58F4" w:rsidR="00B34091" w:rsidRDefault="00B34091" w:rsidP="00B34091">
      <w:pPr>
        <w:pStyle w:val="FigureTableTitles"/>
        <w:sectPr w:rsidR="00B34091" w:rsidSect="00430425">
          <w:footnotePr>
            <w:numRestart w:val="eachPage"/>
          </w:footnotePr>
          <w:pgSz w:w="15840" w:h="12240" w:orient="landscape" w:code="1"/>
          <w:pgMar w:top="1440" w:right="720" w:bottom="1440" w:left="720" w:header="720" w:footer="720" w:gutter="0"/>
          <w:pgNumType w:chapStyle="1"/>
          <w:cols w:space="720"/>
          <w:formProt w:val="0"/>
          <w:noEndnote/>
          <w:titlePg/>
          <w:docGrid w:linePitch="326"/>
        </w:sectPr>
      </w:pPr>
    </w:p>
    <w:p w14:paraId="54DEE5F6" w14:textId="77777777" w:rsidR="00B34091" w:rsidRPr="00F54053" w:rsidRDefault="00B34091" w:rsidP="00B34091">
      <w:pPr>
        <w:pStyle w:val="Heading3"/>
        <w:numPr>
          <w:ilvl w:val="2"/>
          <w:numId w:val="3"/>
        </w:numPr>
      </w:pPr>
      <w:bookmarkStart w:id="268" w:name="_Toc494293020"/>
      <w:bookmarkStart w:id="269" w:name="_Toc520300757"/>
      <w:bookmarkStart w:id="270" w:name="_Toc520822953"/>
      <w:bookmarkStart w:id="271" w:name="_Toc520910998"/>
      <w:bookmarkStart w:id="272" w:name="_Toc520911379"/>
      <w:bookmarkStart w:id="273" w:name="_Toc154068781"/>
      <w:r w:rsidRPr="00F54053">
        <w:t xml:space="preserve">Fire </w:t>
      </w:r>
      <w:r>
        <w:t xml:space="preserve">Protection </w:t>
      </w:r>
      <w:r w:rsidRPr="00F54053">
        <w:t>Services</w:t>
      </w:r>
      <w:bookmarkEnd w:id="268"/>
      <w:bookmarkEnd w:id="269"/>
      <w:bookmarkEnd w:id="270"/>
      <w:bookmarkEnd w:id="271"/>
      <w:bookmarkEnd w:id="272"/>
      <w:bookmarkEnd w:id="273"/>
    </w:p>
    <w:p w14:paraId="0628FB65" w14:textId="37877CC6" w:rsidR="00B34091" w:rsidRDefault="00B34091" w:rsidP="00B34091">
      <w:pPr>
        <w:pStyle w:val="BodyText125"/>
      </w:pPr>
      <w:r w:rsidRPr="00531A47">
        <w:t xml:space="preserve">Cambridge currently operates its fire services from </w:t>
      </w:r>
      <w:r w:rsidR="00531A47" w:rsidRPr="00531A47">
        <w:t>six (6) facilities totaling 5</w:t>
      </w:r>
      <w:r w:rsidRPr="00531A47">
        <w:t>,</w:t>
      </w:r>
      <w:r w:rsidR="00531A47" w:rsidRPr="00531A47">
        <w:t>779</w:t>
      </w:r>
      <w:r w:rsidRPr="00531A47">
        <w:t xml:space="preserve"> sq.</w:t>
      </w:r>
      <w:r w:rsidR="00531A47" w:rsidRPr="00531A47">
        <w:t>m</w:t>
      </w:r>
      <w:r w:rsidRPr="00531A47">
        <w:t xml:space="preserve"> of </w:t>
      </w:r>
      <w:r w:rsidR="00531A47" w:rsidRPr="00531A47">
        <w:t>building</w:t>
      </w:r>
      <w:r w:rsidRPr="00531A47">
        <w:t xml:space="preserve"> space, providing for a </w:t>
      </w:r>
      <w:r w:rsidR="00531A47" w:rsidRPr="00531A47">
        <w:t>15-year historical average level of service of approximately 0.</w:t>
      </w:r>
      <w:r w:rsidR="00560FC9">
        <w:t>04</w:t>
      </w:r>
      <w:r w:rsidR="00531A47" w:rsidRPr="00531A47">
        <w:t xml:space="preserve"> </w:t>
      </w:r>
      <w:r w:rsidR="00531A47">
        <w:t>s</w:t>
      </w:r>
      <w:r w:rsidR="00531A47" w:rsidRPr="00531A47">
        <w:t xml:space="preserve">q.m per </w:t>
      </w:r>
      <w:r w:rsidRPr="00531A47">
        <w:t>capita</w:t>
      </w:r>
      <w:r w:rsidR="00531A47" w:rsidRPr="00531A47">
        <w:t>, or a</w:t>
      </w:r>
      <w:r w:rsidRPr="00531A47">
        <w:t xml:space="preserve"> level of </w:t>
      </w:r>
      <w:r w:rsidR="00531A47" w:rsidRPr="00531A47">
        <w:t>investment</w:t>
      </w:r>
      <w:r w:rsidRPr="00531A47">
        <w:t xml:space="preserve"> of </w:t>
      </w:r>
      <w:r w:rsidR="00531A47" w:rsidRPr="00531A47">
        <w:t>$374</w:t>
      </w:r>
      <w:r w:rsidRPr="00531A47">
        <w:t xml:space="preserve"> per capita</w:t>
      </w:r>
      <w:r w:rsidR="00531A47" w:rsidRPr="00531A47">
        <w:t>.</w:t>
      </w:r>
      <w:r w:rsidRPr="00531A47">
        <w:t xml:space="preserve"> </w:t>
      </w:r>
      <w:r w:rsidR="00531A47" w:rsidRPr="00531A47">
        <w:t xml:space="preserve"> </w:t>
      </w:r>
      <w:r w:rsidRPr="00531A47">
        <w:t xml:space="preserve">This level of service provides the City with a maximum D.C.-eligible amount </w:t>
      </w:r>
      <w:r w:rsidR="00531A47">
        <w:t xml:space="preserve">of approximately $8.79 million </w:t>
      </w:r>
      <w:r w:rsidRPr="00531A47">
        <w:t>for recovery over the forecast period</w:t>
      </w:r>
      <w:r w:rsidR="00531A47">
        <w:t>.</w:t>
      </w:r>
    </w:p>
    <w:p w14:paraId="683CEB71" w14:textId="79FEF834" w:rsidR="00531A47" w:rsidRDefault="00531A47" w:rsidP="00B34091">
      <w:pPr>
        <w:pStyle w:val="BodyText125"/>
      </w:pPr>
      <w:r w:rsidRPr="00F54053">
        <w:t xml:space="preserve">The fire department has a current inventory of </w:t>
      </w:r>
      <w:r w:rsidR="00407452">
        <w:t xml:space="preserve">29 </w:t>
      </w:r>
      <w:r w:rsidRPr="00F54053">
        <w:t>vehicles</w:t>
      </w:r>
      <w:r w:rsidR="00407452">
        <w:t xml:space="preserve"> and equipment</w:t>
      </w:r>
      <w:r w:rsidRPr="00F54053">
        <w:t>.  The</w:t>
      </w:r>
      <w:r w:rsidR="00407452">
        <w:t xml:space="preserve"> inventory provided over the previous 15-year period results in a calculated average level of service of 0.20 vehicle per 1,000 population, and an average level of investment of $160 per capita.  This level of service provides for a D.C.-eligible amount of </w:t>
      </w:r>
      <w:r w:rsidR="00946637">
        <w:t xml:space="preserve">approximately </w:t>
      </w:r>
      <w:r w:rsidR="00407452">
        <w:t>$3.75 million over the forecast period.</w:t>
      </w:r>
    </w:p>
    <w:p w14:paraId="019111AA" w14:textId="77777777" w:rsidR="00D907D7" w:rsidRDefault="00D907D7" w:rsidP="00B34091">
      <w:pPr>
        <w:pStyle w:val="BodyText125"/>
      </w:pPr>
      <w:r>
        <w:t>In addition to the vehicles, the City also provides 1,571 items of small equipment and gear for use in fire services, with a total value of $4.50 million.  This results in a calculated average level of service for the historical 15-year period of $33 per capita, providing for a D.C.-eligible amount over the forecast period of approximately $0.77 million for equipment and gear.</w:t>
      </w:r>
    </w:p>
    <w:p w14:paraId="19E5F6E9" w14:textId="28E6D821" w:rsidR="00D907D7" w:rsidRDefault="00D907D7" w:rsidP="00B34091">
      <w:pPr>
        <w:pStyle w:val="BodyText125"/>
      </w:pPr>
      <w:r w:rsidRPr="00D907D7">
        <w:t>Based on the above, the maximum D.C.-eligible amount for recovery over the forecast period for fire services is approximately $1</w:t>
      </w:r>
      <w:r>
        <w:t>3</w:t>
      </w:r>
      <w:r w:rsidRPr="00D907D7">
        <w:t>.3</w:t>
      </w:r>
      <w:r>
        <w:t>1</w:t>
      </w:r>
      <w:r w:rsidRPr="00D907D7">
        <w:t xml:space="preserve"> million</w:t>
      </w:r>
      <w:r>
        <w:t xml:space="preserve">. </w:t>
      </w:r>
    </w:p>
    <w:p w14:paraId="6D40F548" w14:textId="1236486E" w:rsidR="00B34091" w:rsidRPr="00E4257D" w:rsidRDefault="004C78DA" w:rsidP="00B34091">
      <w:pPr>
        <w:pStyle w:val="BodyText125"/>
      </w:pPr>
      <w:r>
        <w:t xml:space="preserve">The City has identified future capital needs totaling approximately $12.75 million, including the need to expand station IV, four (4) additional vehicles, bunker gear, uniforms, </w:t>
      </w:r>
      <w:r w:rsidR="00946637">
        <w:t>and other equipment</w:t>
      </w:r>
      <w:r>
        <w:t xml:space="preserve">.  </w:t>
      </w:r>
      <w:r w:rsidR="00946637">
        <w:t xml:space="preserve">In addition, a provision for additional facility space has been identified.  </w:t>
      </w:r>
      <w:r w:rsidR="0080692C">
        <w:t xml:space="preserve">The City is currently completing a fire master plan which is undertaking a review of the facility needs to accommodate development over the 10-year forecast period.  This may include expansion of existing facilities or construction of a new facility.  Once the master plan is completed, City staff and Council may identify the specific capital project to meet the servicing needs required to accommodate new development.  The </w:t>
      </w:r>
      <w:r>
        <w:t xml:space="preserve">reserve fund </w:t>
      </w:r>
      <w:r w:rsidR="00560FC9">
        <w:t>balance</w:t>
      </w:r>
      <w:r>
        <w:t xml:space="preserve"> of </w:t>
      </w:r>
      <w:r w:rsidR="0041578B">
        <w:t>473,733</w:t>
      </w:r>
      <w:r w:rsidR="0080692C">
        <w:t xml:space="preserve"> has been deducted from the anticipated growth-related capital costs</w:t>
      </w:r>
      <w:r>
        <w:t>.  In total, the net D.C. recoverable amount included in the D.C. calculations is approximately $1</w:t>
      </w:r>
      <w:r w:rsidR="00560FC9">
        <w:t>2</w:t>
      </w:r>
      <w:r>
        <w:t>.</w:t>
      </w:r>
      <w:r w:rsidR="0041578B">
        <w:t xml:space="preserve">27 </w:t>
      </w:r>
      <w:r>
        <w:t>million.</w:t>
      </w:r>
    </w:p>
    <w:p w14:paraId="30C5D3D1" w14:textId="6806DA4F" w:rsidR="00B34091" w:rsidRDefault="004C78DA" w:rsidP="00B34091">
      <w:pPr>
        <w:pStyle w:val="BodyText125"/>
        <w:sectPr w:rsidR="00B34091" w:rsidSect="00430425">
          <w:footnotePr>
            <w:numRestart w:val="eachPage"/>
          </w:footnotePr>
          <w:pgSz w:w="12240" w:h="15840" w:code="1"/>
          <w:pgMar w:top="720" w:right="1440" w:bottom="720" w:left="1440" w:header="720" w:footer="720" w:gutter="0"/>
          <w:pgNumType w:chapStyle="1"/>
          <w:cols w:space="720"/>
          <w:formProt w:val="0"/>
          <w:noEndnote/>
          <w:titlePg/>
          <w:docGrid w:linePitch="326"/>
        </w:sectPr>
      </w:pPr>
      <w:r w:rsidRPr="004C78DA">
        <w:t xml:space="preserve">These costs are shared between residential and non-residential development based on the population to employment ratio over the forecast period, resulting in </w:t>
      </w:r>
      <w:r>
        <w:t>69</w:t>
      </w:r>
      <w:r w:rsidRPr="004C78DA">
        <w:t>% being allocated to residential development and 3</w:t>
      </w:r>
      <w:r>
        <w:t>1</w:t>
      </w:r>
      <w:r w:rsidRPr="004C78DA">
        <w:t>% being allocated to non-residential development</w:t>
      </w:r>
      <w:r w:rsidR="007A4683">
        <w:t>.</w:t>
      </w:r>
    </w:p>
    <w:p w14:paraId="6DD6A0CB" w14:textId="77777777" w:rsidR="004C78DA" w:rsidRDefault="004C78DA" w:rsidP="00B34091">
      <w:pPr>
        <w:pStyle w:val="FigureTableTitles"/>
      </w:pPr>
      <w:r>
        <w:t>Table 5-3</w:t>
      </w:r>
    </w:p>
    <w:p w14:paraId="11A33FD5" w14:textId="77777777" w:rsidR="004C78DA" w:rsidRDefault="004C78DA" w:rsidP="00B34091">
      <w:pPr>
        <w:pStyle w:val="FigureTableTitles"/>
      </w:pPr>
      <w:r>
        <w:t>Infrastructure Cost Included in the Development Charges Calculation</w:t>
      </w:r>
    </w:p>
    <w:p w14:paraId="6781519C" w14:textId="77777777" w:rsidR="004C78DA" w:rsidRDefault="004C78DA" w:rsidP="00B34091">
      <w:pPr>
        <w:pStyle w:val="FigureTableTitles"/>
      </w:pPr>
      <w:r>
        <w:t>Fire Protection Services</w:t>
      </w:r>
    </w:p>
    <w:p w14:paraId="059535F0" w14:textId="7046BDEA" w:rsidR="00560FC9" w:rsidRDefault="0041578B" w:rsidP="00560FC9">
      <w:pPr>
        <w:pStyle w:val="BodyText125"/>
        <w:jc w:val="center"/>
      </w:pPr>
      <w:r w:rsidRPr="0041578B">
        <w:rPr>
          <w:noProof/>
        </w:rPr>
        <w:drawing>
          <wp:inline distT="0" distB="0" distL="0" distR="0" wp14:anchorId="1DC1BFE1" wp14:editId="499A99FB">
            <wp:extent cx="9144000" cy="3591560"/>
            <wp:effectExtent l="0" t="0" r="0" b="8890"/>
            <wp:docPr id="1877375046" name="Picture 17" descr="This table outlines the capital needs for fire protec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75046" name="Picture 17" descr="This table outlines the capital needs for fire protection servic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0" cy="3591560"/>
                    </a:xfrm>
                    <a:prstGeom prst="rect">
                      <a:avLst/>
                    </a:prstGeom>
                    <a:noFill/>
                    <a:ln>
                      <a:noFill/>
                    </a:ln>
                  </pic:spPr>
                </pic:pic>
              </a:graphicData>
            </a:graphic>
          </wp:inline>
        </w:drawing>
      </w:r>
    </w:p>
    <w:p w14:paraId="305BC188" w14:textId="67775193" w:rsidR="00B34091" w:rsidRPr="00982558" w:rsidRDefault="00B34091" w:rsidP="00B34091">
      <w:pPr>
        <w:pStyle w:val="FigureTableTitles"/>
        <w:rPr>
          <w:i/>
          <w:iCs/>
          <w:szCs w:val="23"/>
        </w:rPr>
      </w:pPr>
      <w:r w:rsidRPr="00982558">
        <w:rPr>
          <w:i/>
          <w:iCs/>
          <w:szCs w:val="23"/>
        </w:rPr>
        <w:br w:type="page"/>
      </w:r>
    </w:p>
    <w:p w14:paraId="198099EA" w14:textId="6E192E70" w:rsidR="00B34091" w:rsidRDefault="00B34091" w:rsidP="00B34091">
      <w:pPr>
        <w:pStyle w:val="FigureTableTitles"/>
        <w:sectPr w:rsidR="00B34091" w:rsidSect="00430425">
          <w:footnotePr>
            <w:numRestart w:val="eachPage"/>
          </w:footnotePr>
          <w:pgSz w:w="15840" w:h="12240" w:orient="landscape" w:code="1"/>
          <w:pgMar w:top="1440" w:right="720" w:bottom="1440" w:left="720" w:header="720" w:footer="720" w:gutter="0"/>
          <w:pgNumType w:chapStyle="1"/>
          <w:cols w:space="720"/>
          <w:formProt w:val="0"/>
          <w:noEndnote/>
          <w:titlePg/>
          <w:docGrid w:linePitch="326"/>
        </w:sectPr>
      </w:pPr>
    </w:p>
    <w:p w14:paraId="4D211060" w14:textId="35ACDF43" w:rsidR="00C93A56" w:rsidRPr="00DC736A" w:rsidRDefault="00B34091" w:rsidP="00B16524">
      <w:pPr>
        <w:pStyle w:val="Heading3"/>
        <w:numPr>
          <w:ilvl w:val="2"/>
          <w:numId w:val="3"/>
        </w:numPr>
      </w:pPr>
      <w:bookmarkStart w:id="274" w:name="_Toc154068782"/>
      <w:r>
        <w:t>Parks and</w:t>
      </w:r>
      <w:r w:rsidR="00C93A56" w:rsidRPr="005055CA">
        <w:t xml:space="preserve"> Recreation Services</w:t>
      </w:r>
      <w:bookmarkEnd w:id="256"/>
      <w:bookmarkEnd w:id="257"/>
      <w:bookmarkEnd w:id="258"/>
      <w:bookmarkEnd w:id="259"/>
      <w:bookmarkEnd w:id="260"/>
      <w:bookmarkEnd w:id="274"/>
    </w:p>
    <w:p w14:paraId="6BB6A6C9" w14:textId="3834D8F0" w:rsidR="00751122" w:rsidRPr="0091126F" w:rsidRDefault="00C93A56" w:rsidP="00C93A56">
      <w:pPr>
        <w:pStyle w:val="BodyText125"/>
      </w:pPr>
      <w:r w:rsidRPr="0091126F">
        <w:t xml:space="preserve">The </w:t>
      </w:r>
      <w:r w:rsidR="00A1355F" w:rsidRPr="0091126F">
        <w:t>City</w:t>
      </w:r>
      <w:r w:rsidRPr="0091126F">
        <w:t xml:space="preserve"> currently </w:t>
      </w:r>
      <w:r w:rsidR="00725D60">
        <w:t xml:space="preserve">has </w:t>
      </w:r>
      <w:r w:rsidR="0040566C">
        <w:t>180.40 hectares</w:t>
      </w:r>
      <w:r w:rsidRPr="0091126F">
        <w:t xml:space="preserve"> of parkland within its jurisdiction.  This parkland consists of </w:t>
      </w:r>
      <w:r w:rsidR="0040566C">
        <w:t>recreation lands and developed parkland</w:t>
      </w:r>
      <w:r w:rsidRPr="0091126F">
        <w:t xml:space="preserve">.  </w:t>
      </w:r>
      <w:r w:rsidR="00562539">
        <w:t xml:space="preserve">The </w:t>
      </w:r>
      <w:r w:rsidR="009E0880">
        <w:t>inventory provided over the previous 15-year period results in a calculated average level of service of 1.40 hectares per 1,000 population and an average level of investment of $158 per capita.  This level of service provides for a D.C. eligible amount of approximately $3.72 million over the forecast period.</w:t>
      </w:r>
      <w:r w:rsidR="00751122">
        <w:t xml:space="preserve">  The City also currently provides 1,830 parkland amenities including various types of sports courts and fields, splash and spray pads, camp sites, playgrounds, outdoor pools, pergolas, pavilions, skateboard parks, etc.  Over the historical 15-year period the City provided an average of </w:t>
      </w:r>
      <w:r w:rsidR="00177DD0">
        <w:t xml:space="preserve">11 amenities per 1,000 population.  As well, the City has 108,161 sq.m of </w:t>
      </w:r>
      <w:r w:rsidR="00725D60">
        <w:t xml:space="preserve">parkland </w:t>
      </w:r>
      <w:r w:rsidR="00177DD0">
        <w:t>parking areas which has provided an average of 829.60 sq.m per 1,000 population.  In addition to parkland development, amenities, and parking areas, the City has 91,385 linear metres of paths and trails which has provided an average of 625 linear metres per 1,000 population, over the 15-year period.  Including parkland development, amenities, parking areas, and trails, the average level of service provided equates to $1,549 per capita.  When applied over the forecast period, this average level of service translates into a D.C.-eligible amount of approximately $36.41 million.</w:t>
      </w:r>
    </w:p>
    <w:p w14:paraId="66A67B0E" w14:textId="63D1F81E" w:rsidR="00C93A56" w:rsidRDefault="00177DD0" w:rsidP="00C93A56">
      <w:pPr>
        <w:pStyle w:val="BodyText125"/>
      </w:pPr>
      <w:r>
        <w:t xml:space="preserve">With respect to recreation facilities, there are </w:t>
      </w:r>
      <w:r w:rsidR="00EA1E7B">
        <w:t xml:space="preserve">a number of </w:t>
      </w:r>
      <w:r>
        <w:t xml:space="preserve">facilities </w:t>
      </w:r>
      <w:r w:rsidR="00EA1E7B">
        <w:t xml:space="preserve">that </w:t>
      </w:r>
      <w:r>
        <w:t xml:space="preserve">provide the City with 54,861 sq.m of recreation facility space.  Based on the inventory of space over the historical 15-year period (2008 to 2022), the City has provided an average of </w:t>
      </w:r>
      <w:r w:rsidR="00E81DA1">
        <w:t>0.38 sq.m of space per capita or an investment of $3,734 per capita.  Based on this service standard, the City would be eligible to collect approximately $87.74 million from D.C.s for facility space.</w:t>
      </w:r>
    </w:p>
    <w:p w14:paraId="5AF25BF6" w14:textId="0617195D" w:rsidR="00E81DA1" w:rsidRDefault="00E81DA1" w:rsidP="00C93A56">
      <w:pPr>
        <w:pStyle w:val="BodyText125"/>
      </w:pPr>
      <w:r>
        <w:t xml:space="preserve">The City utilizes </w:t>
      </w:r>
      <w:r w:rsidR="00EA1E7B">
        <w:t xml:space="preserve">approximately </w:t>
      </w:r>
      <w:r>
        <w:t>309 vehicles and equipment to service the above-mentioned parks and recreation facilities.  Over the historical 15-year period, the City has provided an average level of service of 2.50 vehicles per 1,000 population.  This level of service translates to an average investment of $60 per capita.  Over the forecast period, the City would be eligible to collect approximately $1.42 million from D.C.s for vehicles and equipment.</w:t>
      </w:r>
    </w:p>
    <w:p w14:paraId="2F4DB67D" w14:textId="18AB11A4" w:rsidR="00E81DA1" w:rsidRPr="00487AD7" w:rsidRDefault="00E81DA1" w:rsidP="00C93A56">
      <w:pPr>
        <w:pStyle w:val="BodyText125"/>
      </w:pPr>
      <w:r>
        <w:t xml:space="preserve">In total the City is eligible to collect approximately $125.57 million for parks and </w:t>
      </w:r>
      <w:r w:rsidRPr="00487AD7">
        <w:t>recreation services.</w:t>
      </w:r>
    </w:p>
    <w:p w14:paraId="5A2EE12D" w14:textId="2E0CFF12" w:rsidR="00E81DA1" w:rsidRDefault="00E81DA1" w:rsidP="00C93A56">
      <w:pPr>
        <w:pStyle w:val="BodyText125"/>
      </w:pPr>
      <w:r w:rsidRPr="00487AD7">
        <w:t>Based on the projected growth over the 10-year forecast period, the City has identified future capital needs totaling approximately $</w:t>
      </w:r>
      <w:r w:rsidR="00C82E71">
        <w:t>112</w:t>
      </w:r>
      <w:r w:rsidR="00560FC9">
        <w:t>.</w:t>
      </w:r>
      <w:r w:rsidR="00C82E71">
        <w:t>4</w:t>
      </w:r>
      <w:r w:rsidR="00EA1E7B">
        <w:t>3</w:t>
      </w:r>
      <w:r w:rsidR="00487AD7" w:rsidRPr="00487AD7">
        <w:t xml:space="preserve"> </w:t>
      </w:r>
      <w:r w:rsidRPr="00487AD7">
        <w:t>million.</w:t>
      </w:r>
      <w:r w:rsidR="00487AD7">
        <w:t xml:space="preserve">  These capital needs include </w:t>
      </w:r>
      <w:r w:rsidR="00EA1E7B">
        <w:t xml:space="preserve">development of </w:t>
      </w:r>
      <w:r w:rsidR="00487AD7">
        <w:t>additional parks</w:t>
      </w:r>
      <w:r w:rsidR="00EA1E7B">
        <w:t xml:space="preserve">, </w:t>
      </w:r>
      <w:r w:rsidR="00487AD7">
        <w:t xml:space="preserve">a new cricket field, new baseball diamonds and soccer fields, new trails, and a new recreation complex. </w:t>
      </w:r>
      <w:r>
        <w:t xml:space="preserve"> </w:t>
      </w:r>
      <w:r w:rsidR="00487AD7">
        <w:t>Of the total estimated capital cost, a deduction of approximate</w:t>
      </w:r>
      <w:r w:rsidR="00487AD7" w:rsidRPr="00560FC9">
        <w:t>ly $</w:t>
      </w:r>
      <w:r w:rsidR="008D540B">
        <w:t>16.72</w:t>
      </w:r>
      <w:r w:rsidR="00487AD7" w:rsidRPr="00560FC9">
        <w:t xml:space="preserve"> million</w:t>
      </w:r>
      <w:r w:rsidR="00487AD7">
        <w:t xml:space="preserve"> has been made for the share of costs anticipated to benefit growth outside the forecast period.  A deduction of</w:t>
      </w:r>
      <w:r w:rsidR="00560FC9">
        <w:t xml:space="preserve"> approximately</w:t>
      </w:r>
      <w:r w:rsidR="00487AD7">
        <w:t xml:space="preserve"> </w:t>
      </w:r>
      <w:r w:rsidR="00487AD7" w:rsidRPr="00560FC9">
        <w:t>$</w:t>
      </w:r>
      <w:r w:rsidR="00C60CED">
        <w:t>1</w:t>
      </w:r>
      <w:r w:rsidR="00C60CED">
        <w:t>8</w:t>
      </w:r>
      <w:r w:rsidR="008D540B">
        <w:t>.</w:t>
      </w:r>
      <w:r w:rsidR="00C60CED">
        <w:t>99</w:t>
      </w:r>
      <w:r w:rsidR="00C60CED">
        <w:t xml:space="preserve"> </w:t>
      </w:r>
      <w:r w:rsidR="00487AD7">
        <w:t xml:space="preserve">million has been applied for the share of the costs that benefit existing development.  </w:t>
      </w:r>
      <w:r w:rsidR="00377DEF">
        <w:t xml:space="preserve">Further, approximately </w:t>
      </w:r>
      <w:r w:rsidR="00FE7E33">
        <w:t>$36.24 million has been included to account for existing</w:t>
      </w:r>
      <w:r w:rsidR="00EA1E7B">
        <w:t xml:space="preserve"> debt (growth-related principal and discounted growth-related interest)</w:t>
      </w:r>
      <w:r w:rsidR="00FE7E33">
        <w:t>, approved but not yet issued</w:t>
      </w:r>
      <w:r w:rsidR="00EA1E7B">
        <w:t xml:space="preserve"> debt (growth-related principal and discounted growth-related interest)</w:t>
      </w:r>
      <w:r w:rsidR="00FE7E33">
        <w:t>, and future debt amounts</w:t>
      </w:r>
      <w:r w:rsidR="00EA1E7B">
        <w:t xml:space="preserve"> (discounted growth-related interest)</w:t>
      </w:r>
      <w:r w:rsidR="00FE7E33">
        <w:t xml:space="preserve">.  </w:t>
      </w:r>
      <w:r w:rsidR="00487AD7">
        <w:t>Additionally, approximat</w:t>
      </w:r>
      <w:r w:rsidR="00487AD7" w:rsidRPr="00560FC9">
        <w:t>ely $</w:t>
      </w:r>
      <w:r w:rsidR="008D540B">
        <w:t>19.58</w:t>
      </w:r>
      <w:r w:rsidR="00487AD7" w:rsidRPr="00560FC9">
        <w:t xml:space="preserve"> million</w:t>
      </w:r>
      <w:r w:rsidR="00487AD7">
        <w:t xml:space="preserve"> has been deducted from the calculations to reflect the balance in the D.C. reserve fund.  This results in a net growth-related amount of </w:t>
      </w:r>
      <w:r w:rsidR="00487AD7" w:rsidRPr="00560FC9">
        <w:t>approximately $</w:t>
      </w:r>
      <w:r w:rsidR="008D540B">
        <w:t>93.37</w:t>
      </w:r>
      <w:r w:rsidR="00487AD7" w:rsidRPr="00560FC9">
        <w:t xml:space="preserve"> million</w:t>
      </w:r>
      <w:r w:rsidR="00487AD7">
        <w:t xml:space="preserve"> being included in the D.C. calculations.</w:t>
      </w:r>
    </w:p>
    <w:p w14:paraId="1BCBBE53" w14:textId="1210C94C" w:rsidR="00C93A56" w:rsidRDefault="00C93A56" w:rsidP="00C93A56">
      <w:pPr>
        <w:pStyle w:val="BodyText125"/>
        <w:sectPr w:rsidR="00C93A56" w:rsidSect="00430425">
          <w:footerReference w:type="default" r:id="rId65"/>
          <w:footerReference w:type="first" r:id="rId66"/>
          <w:footnotePr>
            <w:numRestart w:val="eachPage"/>
          </w:footnotePr>
          <w:pgSz w:w="12240" w:h="15840" w:code="1"/>
          <w:pgMar w:top="720" w:right="1440" w:bottom="720" w:left="1440" w:header="720" w:footer="720" w:gutter="0"/>
          <w:pgNumType w:chapStyle="1"/>
          <w:cols w:space="720"/>
          <w:formProt w:val="0"/>
          <w:noEndnote/>
          <w:titlePg/>
          <w:docGrid w:linePitch="326"/>
        </w:sectPr>
      </w:pPr>
      <w:r w:rsidRPr="0091126F">
        <w:t xml:space="preserve">As the predominant users of </w:t>
      </w:r>
      <w:r w:rsidR="00EA1E7B">
        <w:t xml:space="preserve">parks and </w:t>
      </w:r>
      <w:r w:rsidRPr="0091126F">
        <w:t xml:space="preserve">recreation tend to be residents of the </w:t>
      </w:r>
      <w:r w:rsidR="00A1355F" w:rsidRPr="0091126F">
        <w:t>City</w:t>
      </w:r>
      <w:r w:rsidRPr="0091126F">
        <w:t>, the</w:t>
      </w:r>
      <w:r w:rsidRPr="00DC736A">
        <w:t xml:space="preserve"> forecast growth-related costs have been allocated 95% to residential and 5% to non-residential.</w:t>
      </w:r>
    </w:p>
    <w:p w14:paraId="4A1436BD" w14:textId="1D9E90AD" w:rsidR="00487AD7" w:rsidRDefault="00487AD7" w:rsidP="00487AD7">
      <w:pPr>
        <w:pStyle w:val="FigureTableTitles"/>
      </w:pPr>
      <w:r>
        <w:t>Table 5-4</w:t>
      </w:r>
    </w:p>
    <w:p w14:paraId="0484D093" w14:textId="77777777" w:rsidR="00487AD7" w:rsidRDefault="00487AD7" w:rsidP="00487AD7">
      <w:pPr>
        <w:pStyle w:val="FigureTableTitles"/>
      </w:pPr>
      <w:r>
        <w:t>Infrastructure Cost Included in the Development Charges Calculation</w:t>
      </w:r>
    </w:p>
    <w:p w14:paraId="0355B139" w14:textId="77777777" w:rsidR="00B21D09" w:rsidRDefault="00487AD7" w:rsidP="00487AD7">
      <w:pPr>
        <w:pStyle w:val="FigureTableTitles"/>
      </w:pPr>
      <w:r>
        <w:t>Parks and Recreation Services</w:t>
      </w:r>
    </w:p>
    <w:p w14:paraId="725141C1" w14:textId="692E219C" w:rsidR="00C93A56" w:rsidRDefault="008D540B" w:rsidP="00B21D09">
      <w:pPr>
        <w:pStyle w:val="BodyText125"/>
      </w:pPr>
      <w:r w:rsidRPr="008D540B">
        <w:rPr>
          <w:noProof/>
        </w:rPr>
        <w:drawing>
          <wp:inline distT="0" distB="0" distL="0" distR="0" wp14:anchorId="2C61888C" wp14:editId="629DA34B">
            <wp:extent cx="9144000" cy="4267835"/>
            <wp:effectExtent l="0" t="0" r="0" b="0"/>
            <wp:docPr id="1473004499" name="Picture 6" descr="This table outlines the capital needs for parks and recrea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004499" name="Picture 6" descr="This table outlines the capital needs for parks and recreation servic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44000" cy="4267835"/>
                    </a:xfrm>
                    <a:prstGeom prst="rect">
                      <a:avLst/>
                    </a:prstGeom>
                    <a:noFill/>
                    <a:ln>
                      <a:noFill/>
                    </a:ln>
                  </pic:spPr>
                </pic:pic>
              </a:graphicData>
            </a:graphic>
          </wp:inline>
        </w:drawing>
      </w:r>
      <w:r w:rsidR="00FE7E33" w:rsidRPr="00FE7E33">
        <w:t xml:space="preserve"> </w:t>
      </w:r>
      <w:r w:rsidR="00C93A56">
        <w:br w:type="page"/>
      </w:r>
    </w:p>
    <w:p w14:paraId="4AD2A402" w14:textId="44058068" w:rsidR="00B21D09" w:rsidRDefault="00B21D09" w:rsidP="00B21D09">
      <w:pPr>
        <w:pStyle w:val="FigureTableTitles"/>
      </w:pPr>
      <w:r>
        <w:t>Table 5-4 (Cont’d)</w:t>
      </w:r>
    </w:p>
    <w:p w14:paraId="0DEAADD5" w14:textId="77777777" w:rsidR="00B21D09" w:rsidRDefault="00B21D09" w:rsidP="00B21D09">
      <w:pPr>
        <w:pStyle w:val="FigureTableTitles"/>
      </w:pPr>
      <w:r>
        <w:t>Infrastructure Cost Included in the Development Charges Calculation</w:t>
      </w:r>
    </w:p>
    <w:p w14:paraId="27793945" w14:textId="77777777" w:rsidR="00B21D09" w:rsidRDefault="00B21D09" w:rsidP="00B21D09">
      <w:pPr>
        <w:pStyle w:val="FigureTableTitles"/>
      </w:pPr>
      <w:r>
        <w:t>Parks and Recreation Services</w:t>
      </w:r>
    </w:p>
    <w:p w14:paraId="32546D85" w14:textId="0EC0478C" w:rsidR="00C93A56" w:rsidRDefault="008D540B" w:rsidP="00B21D09">
      <w:pPr>
        <w:pStyle w:val="BodyText125"/>
        <w:jc w:val="center"/>
      </w:pPr>
      <w:r w:rsidRPr="008D540B">
        <w:rPr>
          <w:noProof/>
        </w:rPr>
        <w:drawing>
          <wp:inline distT="0" distB="0" distL="0" distR="0" wp14:anchorId="16BE14C0" wp14:editId="2F1C1843">
            <wp:extent cx="9144000" cy="3745865"/>
            <wp:effectExtent l="0" t="0" r="0" b="6985"/>
            <wp:docPr id="1961864493" name="Picture 7" descr="This table outlines the capital needs for parks and recreation service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4493" name="Picture 7" descr="This table outlines the capital needs for parks and recreation services continu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0" cy="3745865"/>
                    </a:xfrm>
                    <a:prstGeom prst="rect">
                      <a:avLst/>
                    </a:prstGeom>
                    <a:noFill/>
                    <a:ln>
                      <a:noFill/>
                    </a:ln>
                  </pic:spPr>
                </pic:pic>
              </a:graphicData>
            </a:graphic>
          </wp:inline>
        </w:drawing>
      </w:r>
    </w:p>
    <w:p w14:paraId="6BFA4A13" w14:textId="48F4A4EA" w:rsidR="00C93A56" w:rsidRDefault="00C93A56" w:rsidP="00C93A56">
      <w:pPr>
        <w:pStyle w:val="FigureTableTitles"/>
        <w:sectPr w:rsidR="00C93A56" w:rsidSect="00430425">
          <w:footnotePr>
            <w:numRestart w:val="eachPage"/>
          </w:footnotePr>
          <w:pgSz w:w="15840" w:h="12240" w:orient="landscape" w:code="1"/>
          <w:pgMar w:top="1440" w:right="720" w:bottom="1440" w:left="720" w:header="720" w:footer="720" w:gutter="0"/>
          <w:pgNumType w:chapStyle="1"/>
          <w:cols w:space="720"/>
          <w:formProt w:val="0"/>
          <w:noEndnote/>
          <w:titlePg/>
          <w:docGrid w:linePitch="326"/>
        </w:sectPr>
      </w:pPr>
    </w:p>
    <w:p w14:paraId="7B95D484" w14:textId="77777777" w:rsidR="00C93A56" w:rsidRPr="00ED6C90" w:rsidRDefault="00C93A56" w:rsidP="00B16524">
      <w:pPr>
        <w:pStyle w:val="Heading3"/>
        <w:numPr>
          <w:ilvl w:val="2"/>
          <w:numId w:val="3"/>
        </w:numPr>
      </w:pPr>
      <w:bookmarkStart w:id="275" w:name="_Toc494293008"/>
      <w:bookmarkStart w:id="276" w:name="_Toc520300745"/>
      <w:bookmarkStart w:id="277" w:name="_Toc520822941"/>
      <w:bookmarkStart w:id="278" w:name="_Toc520910986"/>
      <w:bookmarkStart w:id="279" w:name="_Toc520911367"/>
      <w:bookmarkStart w:id="280" w:name="_Toc154068783"/>
      <w:r w:rsidRPr="00ED6C90">
        <w:t>Library Services</w:t>
      </w:r>
      <w:bookmarkEnd w:id="275"/>
      <w:bookmarkEnd w:id="276"/>
      <w:bookmarkEnd w:id="277"/>
      <w:bookmarkEnd w:id="278"/>
      <w:bookmarkEnd w:id="279"/>
      <w:bookmarkEnd w:id="280"/>
    </w:p>
    <w:p w14:paraId="3E06CE8E" w14:textId="4056B9BF" w:rsidR="00C93A56" w:rsidRPr="00ED6C90" w:rsidRDefault="00C93A56" w:rsidP="00C93A56">
      <w:pPr>
        <w:pStyle w:val="BodyText125"/>
      </w:pPr>
      <w:r w:rsidRPr="00ED6C90">
        <w:t xml:space="preserve">The </w:t>
      </w:r>
      <w:r w:rsidR="00A1355F" w:rsidRPr="00ED6C90">
        <w:t>City</w:t>
      </w:r>
      <w:r w:rsidRPr="00ED6C90">
        <w:t xml:space="preserve"> provides </w:t>
      </w:r>
      <w:r w:rsidR="00ED6C90" w:rsidRPr="00ED6C90">
        <w:t>library</w:t>
      </w:r>
      <w:r w:rsidRPr="00ED6C90">
        <w:t xml:space="preserve"> </w:t>
      </w:r>
      <w:r w:rsidR="00ED6C90">
        <w:t xml:space="preserve">services out of five (5) branches; Hespeler, Preston, Clemens Mill, </w:t>
      </w:r>
      <w:r w:rsidR="00C632E2">
        <w:t xml:space="preserve">the </w:t>
      </w:r>
      <w:r w:rsidR="00ED6C90">
        <w:t>Main Library</w:t>
      </w:r>
      <w:r w:rsidR="00C632E2">
        <w:t xml:space="preserve"> branch</w:t>
      </w:r>
      <w:r w:rsidR="00ED6C90">
        <w:t xml:space="preserve">, and the Old Post Office-Idea Exchange. </w:t>
      </w:r>
      <w:r w:rsidRPr="00ED6C90">
        <w:t xml:space="preserve"> </w:t>
      </w:r>
      <w:r w:rsidR="00ED6C90" w:rsidRPr="00ED6C90">
        <w:t xml:space="preserve">The total floor area of library facility space provided in the </w:t>
      </w:r>
      <w:r w:rsidR="00ED6C90">
        <w:t xml:space="preserve">City </w:t>
      </w:r>
      <w:r w:rsidR="00ED6C90" w:rsidRPr="00ED6C90">
        <w:t xml:space="preserve">is </w:t>
      </w:r>
      <w:r w:rsidR="00ED6C90">
        <w:t xml:space="preserve">8,639 </w:t>
      </w:r>
      <w:r w:rsidR="00ED6C90" w:rsidRPr="00ED6C90">
        <w:t>sq.</w:t>
      </w:r>
      <w:r w:rsidR="00ED6C90">
        <w:t>m.</w:t>
      </w:r>
      <w:r w:rsidR="00ED6C90" w:rsidRPr="00ED6C90">
        <w:t xml:space="preserve">  Over the previous 15 years, the average level of service was</w:t>
      </w:r>
      <w:r w:rsidR="00ED6C90">
        <w:t xml:space="preserve"> approximately</w:t>
      </w:r>
      <w:r w:rsidR="00ED6C90" w:rsidRPr="00ED6C90">
        <w:t xml:space="preserve"> 0.</w:t>
      </w:r>
      <w:r w:rsidR="00ED6C90">
        <w:t>06</w:t>
      </w:r>
      <w:r w:rsidR="00ED6C90" w:rsidRPr="00ED6C90">
        <w:t xml:space="preserve"> sq.</w:t>
      </w:r>
      <w:r w:rsidR="00ED6C90">
        <w:t>m</w:t>
      </w:r>
      <w:r w:rsidR="00ED6C90" w:rsidRPr="00ED6C90">
        <w:t xml:space="preserve"> of space per capita, or an investment of $</w:t>
      </w:r>
      <w:r w:rsidR="00ED6C90">
        <w:t>670</w:t>
      </w:r>
      <w:r w:rsidR="00ED6C90" w:rsidRPr="00ED6C90">
        <w:t xml:space="preserve"> per capita.  Over the forecast period, the D.C. eligible amount for recovery is approximately $</w:t>
      </w:r>
      <w:r w:rsidR="00ED6C90">
        <w:t>15</w:t>
      </w:r>
      <w:r w:rsidR="00ED6C90" w:rsidRPr="00ED6C90">
        <w:t>.7</w:t>
      </w:r>
      <w:r w:rsidR="00ED6C90">
        <w:t>5</w:t>
      </w:r>
      <w:r w:rsidR="00ED6C90" w:rsidRPr="00ED6C90">
        <w:t xml:space="preserve"> million</w:t>
      </w:r>
      <w:r w:rsidR="00ED6C90">
        <w:t>.</w:t>
      </w:r>
    </w:p>
    <w:p w14:paraId="095DB807" w14:textId="18CC8EEF" w:rsidR="00ED6C90" w:rsidRDefault="00ED6C90" w:rsidP="00ED6C90">
      <w:pPr>
        <w:pStyle w:val="BodyText125"/>
      </w:pPr>
      <w:r>
        <w:t>The City has a current inventory of 259,760 library collection items.  These collection items include various materials including books, subscriptions, and e-resources, all of which have a total value of approximately $</w:t>
      </w:r>
      <w:r w:rsidR="00C632E2">
        <w:t>9.42</w:t>
      </w:r>
      <w:r>
        <w:t xml:space="preserve"> million.  Over the past 15 years, the average level of service was 2.22 collection items per capita, or an investment of $</w:t>
      </w:r>
      <w:r w:rsidR="00C632E2">
        <w:t>64</w:t>
      </w:r>
      <w:r>
        <w:t xml:space="preserve"> per capita.  Based on this service standard, the City would be eligible to collect approximately $1.</w:t>
      </w:r>
      <w:r w:rsidR="00C632E2">
        <w:t>51</w:t>
      </w:r>
      <w:r>
        <w:t xml:space="preserve"> million from D.C.s for library collection items.</w:t>
      </w:r>
    </w:p>
    <w:p w14:paraId="262EE824" w14:textId="4482D192" w:rsidR="00C93A56" w:rsidRPr="00ED6C90" w:rsidRDefault="00ED6C90" w:rsidP="00ED6C90">
      <w:pPr>
        <w:pStyle w:val="BodyText125"/>
      </w:pPr>
      <w:r>
        <w:t>In total, the City would be eligible to collect approximately $</w:t>
      </w:r>
      <w:r w:rsidR="00C632E2">
        <w:t>17</w:t>
      </w:r>
      <w:r>
        <w:t>.</w:t>
      </w:r>
      <w:r w:rsidR="00C632E2">
        <w:t>26</w:t>
      </w:r>
      <w:r>
        <w:t xml:space="preserve"> million from D.C.s for library services</w:t>
      </w:r>
      <w:r w:rsidR="00C93A56" w:rsidRPr="00ED6C90">
        <w:t>.</w:t>
      </w:r>
    </w:p>
    <w:p w14:paraId="5896E8C2" w14:textId="062CC03A" w:rsidR="00C93A56" w:rsidRPr="00B11E06" w:rsidRDefault="00ED6C90" w:rsidP="00C93A56">
      <w:pPr>
        <w:pStyle w:val="BodyText125"/>
      </w:pPr>
      <w:r w:rsidRPr="00ED6C90">
        <w:t xml:space="preserve">With respect to capital needs to accommodate growth over the forecast period, the </w:t>
      </w:r>
      <w:r>
        <w:t>City</w:t>
      </w:r>
      <w:r w:rsidRPr="00ED6C90">
        <w:t xml:space="preserve"> has identified additional facility space a</w:t>
      </w:r>
      <w:r w:rsidR="008126B7">
        <w:t>nd collection materials.</w:t>
      </w:r>
      <w:r w:rsidRPr="00ED6C90">
        <w:t xml:space="preserve">  In total, the gross capital cost estimate is $</w:t>
      </w:r>
      <w:r w:rsidR="00DE0A56">
        <w:t>13.70</w:t>
      </w:r>
      <w:r w:rsidRPr="00ED6C90">
        <w:t>million.  A deduction of $</w:t>
      </w:r>
      <w:r w:rsidR="00C82E71">
        <w:t>3.22</w:t>
      </w:r>
      <w:r w:rsidR="008126B7">
        <w:t xml:space="preserve"> million </w:t>
      </w:r>
      <w:r w:rsidRPr="00ED6C90">
        <w:t>has been provided to account for the balance in the D.C. reserve fund.  As a result of the above, the total amount included in the D.C. calculations is approximately $</w:t>
      </w:r>
      <w:r w:rsidR="008126B7">
        <w:t>10</w:t>
      </w:r>
      <w:r w:rsidRPr="00ED6C90">
        <w:t>.</w:t>
      </w:r>
      <w:r w:rsidR="00C82E71">
        <w:t>47</w:t>
      </w:r>
      <w:r w:rsidR="00C82E71" w:rsidRPr="00ED6C90">
        <w:t xml:space="preserve"> </w:t>
      </w:r>
      <w:r w:rsidRPr="00ED6C90">
        <w:t>million</w:t>
      </w:r>
      <w:r w:rsidR="00C93A56" w:rsidRPr="00B11E06">
        <w:t xml:space="preserve">. </w:t>
      </w:r>
    </w:p>
    <w:p w14:paraId="306C4F71" w14:textId="69F2048E" w:rsidR="00C93A56" w:rsidRDefault="00C93A56" w:rsidP="00C93A56">
      <w:pPr>
        <w:pStyle w:val="BodyText125"/>
        <w:rPr>
          <w:i/>
          <w:iCs/>
        </w:rPr>
        <w:sectPr w:rsidR="00C93A56" w:rsidSect="00CE12B2">
          <w:footnotePr>
            <w:numRestart w:val="eachPage"/>
          </w:footnotePr>
          <w:pgSz w:w="12240" w:h="15840" w:code="1"/>
          <w:pgMar w:top="720" w:right="1440" w:bottom="720" w:left="1440" w:header="720" w:footer="720" w:gutter="0"/>
          <w:pgNumType w:chapStyle="1"/>
          <w:cols w:space="720"/>
          <w:formProt w:val="0"/>
          <w:noEndnote/>
          <w:titlePg/>
          <w:docGrid w:linePitch="326"/>
        </w:sectPr>
      </w:pPr>
      <w:r w:rsidRPr="00B11E06">
        <w:t>While library usage is predominately residential based, there is some use of the facilities by non-residential users, for the purpose of research.  To acknowledge this use</w:t>
      </w:r>
      <w:r w:rsidR="007D5E68">
        <w:t xml:space="preserve">, </w:t>
      </w:r>
      <w:r w:rsidRPr="00B11E06">
        <w:t xml:space="preserve">the growth-related capital costs have been allocated 95% </w:t>
      </w:r>
      <w:r w:rsidR="00032C96">
        <w:t xml:space="preserve">to </w:t>
      </w:r>
      <w:r w:rsidRPr="00B11E06">
        <w:t xml:space="preserve">residential </w:t>
      </w:r>
      <w:r w:rsidR="00032C96">
        <w:t xml:space="preserve">development </w:t>
      </w:r>
      <w:r w:rsidRPr="00B11E06">
        <w:t xml:space="preserve">and 5% </w:t>
      </w:r>
      <w:r w:rsidR="00032C96">
        <w:t xml:space="preserve">to </w:t>
      </w:r>
      <w:r w:rsidRPr="00B11E06">
        <w:t>non-residential</w:t>
      </w:r>
      <w:r w:rsidR="00032C96">
        <w:t xml:space="preserve"> development.</w:t>
      </w:r>
    </w:p>
    <w:p w14:paraId="6CB865AB" w14:textId="68ABD13F" w:rsidR="008126B7" w:rsidRDefault="008126B7" w:rsidP="008126B7">
      <w:pPr>
        <w:pStyle w:val="FigureTableTitles"/>
      </w:pPr>
      <w:r>
        <w:t>Table 5-5</w:t>
      </w:r>
    </w:p>
    <w:p w14:paraId="79214CC0" w14:textId="77777777" w:rsidR="008126B7" w:rsidRDefault="008126B7" w:rsidP="008126B7">
      <w:pPr>
        <w:pStyle w:val="FigureTableTitles"/>
      </w:pPr>
      <w:r>
        <w:t>Infrastructure Cost Included in the Development Charges Calculation</w:t>
      </w:r>
    </w:p>
    <w:p w14:paraId="00FB5100" w14:textId="77777777" w:rsidR="008126B7" w:rsidRDefault="008126B7" w:rsidP="008126B7">
      <w:pPr>
        <w:pStyle w:val="FigureTableTitles"/>
        <w:rPr>
          <w:i/>
          <w:iCs/>
          <w:szCs w:val="23"/>
        </w:rPr>
      </w:pPr>
      <w:r>
        <w:t>Library Services</w:t>
      </w:r>
    </w:p>
    <w:p w14:paraId="46306A48" w14:textId="328848A4" w:rsidR="00C93A56" w:rsidRPr="00B11E06" w:rsidRDefault="00C82E71" w:rsidP="008126B7">
      <w:pPr>
        <w:pStyle w:val="BodyText125"/>
        <w:jc w:val="center"/>
      </w:pPr>
      <w:r w:rsidRPr="00C82E71">
        <w:rPr>
          <w:noProof/>
        </w:rPr>
        <w:drawing>
          <wp:inline distT="0" distB="0" distL="0" distR="0" wp14:anchorId="63F764D6" wp14:editId="6AA59694">
            <wp:extent cx="9144000" cy="3901440"/>
            <wp:effectExtent l="0" t="0" r="0" b="3810"/>
            <wp:docPr id="558564236" name="Picture 5" descr="This table outlines the capital needs for libra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64236" name="Picture 5" descr="This table outlines the capital needs for library servic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144000" cy="3901440"/>
                    </a:xfrm>
                    <a:prstGeom prst="rect">
                      <a:avLst/>
                    </a:prstGeom>
                    <a:noFill/>
                    <a:ln>
                      <a:noFill/>
                    </a:ln>
                  </pic:spPr>
                </pic:pic>
              </a:graphicData>
            </a:graphic>
          </wp:inline>
        </w:drawing>
      </w:r>
      <w:r w:rsidR="00C93A56" w:rsidRPr="00B11E06">
        <w:br w:type="page"/>
      </w:r>
    </w:p>
    <w:p w14:paraId="4A6A29E4" w14:textId="310F65AC" w:rsidR="00C93A56" w:rsidRDefault="00C93A56" w:rsidP="00C93A56">
      <w:pPr>
        <w:pStyle w:val="FigureTableTitles"/>
        <w:sectPr w:rsidR="00C93A56" w:rsidSect="00CE12B2">
          <w:footnotePr>
            <w:numRestart w:val="eachPage"/>
          </w:footnotePr>
          <w:pgSz w:w="15840" w:h="12240" w:orient="landscape" w:code="1"/>
          <w:pgMar w:top="1440" w:right="720" w:bottom="1440" w:left="720" w:header="720" w:footer="720" w:gutter="0"/>
          <w:pgNumType w:chapStyle="1"/>
          <w:cols w:space="720"/>
          <w:formProt w:val="0"/>
          <w:noEndnote/>
          <w:titlePg/>
          <w:docGrid w:linePitch="326"/>
        </w:sectPr>
      </w:pPr>
    </w:p>
    <w:p w14:paraId="1E8FB7D5" w14:textId="032B7F86" w:rsidR="00C93A56" w:rsidRPr="008012C2" w:rsidRDefault="00C93A56" w:rsidP="00B16524">
      <w:pPr>
        <w:pStyle w:val="Heading2"/>
        <w:numPr>
          <w:ilvl w:val="1"/>
          <w:numId w:val="3"/>
        </w:numPr>
      </w:pPr>
      <w:bookmarkStart w:id="281" w:name="_Toc494293021"/>
      <w:bookmarkStart w:id="282" w:name="_Toc520300758"/>
      <w:bookmarkStart w:id="283" w:name="_Toc520822954"/>
      <w:bookmarkStart w:id="284" w:name="_Toc520910999"/>
      <w:bookmarkStart w:id="285" w:name="_Toc520911380"/>
      <w:bookmarkStart w:id="286" w:name="_Toc154068784"/>
      <w:r w:rsidRPr="008012C2">
        <w:t xml:space="preserve">Service Levels and </w:t>
      </w:r>
      <w:r w:rsidR="00944097">
        <w:t xml:space="preserve">City-wide </w:t>
      </w:r>
      <w:r w:rsidRPr="008012C2">
        <w:t>Urban 1</w:t>
      </w:r>
      <w:r w:rsidR="00A978A2">
        <w:t>0</w:t>
      </w:r>
      <w:r w:rsidRPr="008012C2">
        <w:t xml:space="preserve">-Year Capital Costs for </w:t>
      </w:r>
      <w:r w:rsidR="00A1355F" w:rsidRPr="00A978A2">
        <w:t>Cambridge</w:t>
      </w:r>
      <w:r w:rsidRPr="00A978A2">
        <w:t>’s D.C. Calculation</w:t>
      </w:r>
      <w:bookmarkEnd w:id="281"/>
      <w:bookmarkEnd w:id="282"/>
      <w:bookmarkEnd w:id="283"/>
      <w:bookmarkEnd w:id="284"/>
      <w:bookmarkEnd w:id="285"/>
      <w:bookmarkEnd w:id="286"/>
    </w:p>
    <w:p w14:paraId="0A8C3BBA" w14:textId="0291C602" w:rsidR="00C93A56" w:rsidRPr="00982558" w:rsidRDefault="00C93A56" w:rsidP="00006EDC">
      <w:pPr>
        <w:pStyle w:val="BodyText125"/>
      </w:pPr>
      <w:r w:rsidRPr="00982558">
        <w:t xml:space="preserve">This section evaluates the development-related capital requirements for </w:t>
      </w:r>
      <w:r w:rsidR="0087411D">
        <w:t>water</w:t>
      </w:r>
      <w:r w:rsidR="00944097">
        <w:t xml:space="preserve">, </w:t>
      </w:r>
      <w:r w:rsidR="0087411D">
        <w:t>wastewater</w:t>
      </w:r>
      <w:r w:rsidR="00944097">
        <w:t>, and stormwater</w:t>
      </w:r>
      <w:r w:rsidRPr="00982558">
        <w:t xml:space="preserve"> services with </w:t>
      </w:r>
      <w:r w:rsidR="0087411D">
        <w:t>capital costs identified over the</w:t>
      </w:r>
      <w:r w:rsidR="00944097">
        <w:t xml:space="preserve"> </w:t>
      </w:r>
      <w:r w:rsidR="007D0EB3">
        <w:t xml:space="preserve">urban area </w:t>
      </w:r>
      <w:r>
        <w:t>1</w:t>
      </w:r>
      <w:r w:rsidR="0087411D">
        <w:t>0</w:t>
      </w:r>
      <w:r>
        <w:t>-year</w:t>
      </w:r>
      <w:r w:rsidRPr="00982558">
        <w:t xml:space="preserve"> </w:t>
      </w:r>
      <w:r w:rsidR="0087411D">
        <w:t>forecast period</w:t>
      </w:r>
      <w:r w:rsidRPr="00982558">
        <w:t xml:space="preserve">.  </w:t>
      </w:r>
    </w:p>
    <w:p w14:paraId="40DBFDC7" w14:textId="7C9CD066" w:rsidR="00C93A56" w:rsidRPr="00BD12D5" w:rsidRDefault="00B34091" w:rsidP="00B16524">
      <w:pPr>
        <w:pStyle w:val="Heading3"/>
        <w:numPr>
          <w:ilvl w:val="2"/>
          <w:numId w:val="3"/>
        </w:numPr>
      </w:pPr>
      <w:bookmarkStart w:id="287" w:name="_Toc494293022"/>
      <w:bookmarkStart w:id="288" w:name="_Toc520300759"/>
      <w:bookmarkStart w:id="289" w:name="_Toc520822955"/>
      <w:bookmarkStart w:id="290" w:name="_Toc520911000"/>
      <w:bookmarkStart w:id="291" w:name="_Toc520911381"/>
      <w:bookmarkStart w:id="292" w:name="_Toc154068785"/>
      <w:r>
        <w:t>Water</w:t>
      </w:r>
      <w:r w:rsidR="00C93A56" w:rsidRPr="00BD12D5">
        <w:t xml:space="preserve"> Services</w:t>
      </w:r>
      <w:bookmarkEnd w:id="287"/>
      <w:bookmarkEnd w:id="288"/>
      <w:bookmarkEnd w:id="289"/>
      <w:bookmarkEnd w:id="290"/>
      <w:bookmarkEnd w:id="291"/>
      <w:bookmarkEnd w:id="292"/>
    </w:p>
    <w:p w14:paraId="7C9068A4" w14:textId="2DE0320F" w:rsidR="006E0D65" w:rsidRDefault="0087411D" w:rsidP="00B717C4">
      <w:pPr>
        <w:pStyle w:val="BodyText125"/>
      </w:pPr>
      <w:r>
        <w:t>The City has identified</w:t>
      </w:r>
      <w:r w:rsidR="00B717C4">
        <w:t xml:space="preserve"> several projects to expand its water distribution network, which totals $9.31 million.  These projects include various works related to adding and expanding watermains, infrastructure upsizing, and other growth-related works.  In addition to these costs, an estimated </w:t>
      </w:r>
      <w:r w:rsidR="006E0D65">
        <w:t>debt</w:t>
      </w:r>
      <w:r w:rsidR="00B717C4">
        <w:t xml:space="preserve"> amount </w:t>
      </w:r>
      <w:r w:rsidR="006E0D65">
        <w:t>(</w:t>
      </w:r>
      <w:r w:rsidR="00E440CD">
        <w:t xml:space="preserve">growth related </w:t>
      </w:r>
      <w:r w:rsidR="006E0D65">
        <w:t xml:space="preserve">principal and </w:t>
      </w:r>
      <w:r w:rsidR="00E440CD">
        <w:t xml:space="preserve">discounted growth-related </w:t>
      </w:r>
      <w:r w:rsidR="006E0D65">
        <w:t xml:space="preserve">interest) </w:t>
      </w:r>
      <w:r w:rsidR="00B717C4">
        <w:t xml:space="preserve">of </w:t>
      </w:r>
      <w:r w:rsidR="006E0D65">
        <w:t xml:space="preserve">approximately $1.86 million has been included, for a gross cost of approximately $11.17 million.  Of this amount, approximately $1.16 million has been deducted to recognize works that will benefit growth outside the forecast period.  Further, a deduction of </w:t>
      </w:r>
      <w:r w:rsidR="00E440CD">
        <w:t xml:space="preserve">$684,400 </w:t>
      </w:r>
      <w:r w:rsidR="006E0D65">
        <w:t xml:space="preserve">has been applied for the share of the costs that benefit existing development.  Additionally, </w:t>
      </w:r>
      <w:r w:rsidR="006E0D65" w:rsidRPr="00560FC9">
        <w:t>$</w:t>
      </w:r>
      <w:r w:rsidR="00DE0A56">
        <w:t xml:space="preserve">294,061 </w:t>
      </w:r>
      <w:r w:rsidR="006E0D65">
        <w:t xml:space="preserve">has been deducted from the calculations to reflect the </w:t>
      </w:r>
      <w:r w:rsidR="00E440CD">
        <w:t xml:space="preserve">adjusted </w:t>
      </w:r>
      <w:r w:rsidR="006E0D65">
        <w:t>balance in the D.C. reserve fund.  In total, the net D.C. recoverable amount included in the D.C. calculations is approximately $9.</w:t>
      </w:r>
      <w:r w:rsidR="00DE0A56">
        <w:t xml:space="preserve">03 </w:t>
      </w:r>
      <w:r w:rsidR="006E0D65">
        <w:t>million.</w:t>
      </w:r>
    </w:p>
    <w:p w14:paraId="02B23F1B" w14:textId="6C40E03E" w:rsidR="006E0D65" w:rsidRDefault="006E0D65" w:rsidP="00B717C4">
      <w:pPr>
        <w:pStyle w:val="BodyText125"/>
      </w:pPr>
      <w:r>
        <w:t>These costs are shared at 6</w:t>
      </w:r>
      <w:r w:rsidR="007D0EB3">
        <w:t>8</w:t>
      </w:r>
      <w:r>
        <w:t>% residential benefit and 3</w:t>
      </w:r>
      <w:r w:rsidR="007D0EB3">
        <w:t>2</w:t>
      </w:r>
      <w:r>
        <w:t>% non-residential benefit, based on the population to employment ratio over the forecast period.</w:t>
      </w:r>
    </w:p>
    <w:p w14:paraId="4BEDC499" w14:textId="66BDA1F7" w:rsidR="00C93A56" w:rsidRPr="00B717C4" w:rsidRDefault="00B717C4" w:rsidP="00B717C4">
      <w:pPr>
        <w:pStyle w:val="BodyText125"/>
        <w:sectPr w:rsidR="00C93A56" w:rsidRPr="00B717C4" w:rsidSect="00430425">
          <w:footnotePr>
            <w:numRestart w:val="eachPage"/>
          </w:footnotePr>
          <w:pgSz w:w="12240" w:h="15840" w:code="1"/>
          <w:pgMar w:top="720" w:right="1440" w:bottom="720" w:left="1440" w:header="720" w:footer="720" w:gutter="0"/>
          <w:pgNumType w:chapStyle="1"/>
          <w:cols w:space="720"/>
          <w:formProt w:val="0"/>
          <w:noEndnote/>
          <w:titlePg/>
          <w:docGrid w:linePitch="326"/>
        </w:sectPr>
      </w:pPr>
      <w:r>
        <w:t xml:space="preserve"> </w:t>
      </w:r>
    </w:p>
    <w:p w14:paraId="459DE22E" w14:textId="77777777" w:rsidR="006E0D65" w:rsidRDefault="006E0D65" w:rsidP="00006EDC">
      <w:pPr>
        <w:pStyle w:val="FigureTableTitles"/>
      </w:pPr>
      <w:r>
        <w:t>Table 5-6</w:t>
      </w:r>
    </w:p>
    <w:p w14:paraId="4DCC6117" w14:textId="77777777" w:rsidR="006E0D65" w:rsidRDefault="006E0D65" w:rsidP="006E0D65">
      <w:pPr>
        <w:pStyle w:val="FigureTableTitles"/>
      </w:pPr>
      <w:r>
        <w:t>Infrastructure Cost Included in the Development Charges Calculation</w:t>
      </w:r>
    </w:p>
    <w:p w14:paraId="1BD4CD15" w14:textId="2CAE9DE0" w:rsidR="006E0D65" w:rsidRDefault="006E0D65" w:rsidP="006E0D65">
      <w:pPr>
        <w:pStyle w:val="FigureTableTitles"/>
      </w:pPr>
      <w:r>
        <w:t>Water Services</w:t>
      </w:r>
    </w:p>
    <w:p w14:paraId="7DEAD546" w14:textId="61467E72" w:rsidR="006E0D65" w:rsidRDefault="00DE0A56" w:rsidP="006E0D65">
      <w:pPr>
        <w:pStyle w:val="BodyText125"/>
        <w:jc w:val="center"/>
      </w:pPr>
      <w:r w:rsidRPr="00DE0A56">
        <w:rPr>
          <w:noProof/>
        </w:rPr>
        <w:drawing>
          <wp:inline distT="0" distB="0" distL="0" distR="0" wp14:anchorId="6B941E91" wp14:editId="36114C46">
            <wp:extent cx="8356992" cy="4686300"/>
            <wp:effectExtent l="0" t="0" r="6350" b="0"/>
            <wp:docPr id="801691511" name="Picture 18" descr="This table outlines the capital needs for wat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91511" name="Picture 18" descr="This table outlines the capital needs for water servic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68792" cy="4692917"/>
                    </a:xfrm>
                    <a:prstGeom prst="rect">
                      <a:avLst/>
                    </a:prstGeom>
                    <a:noFill/>
                    <a:ln>
                      <a:noFill/>
                    </a:ln>
                  </pic:spPr>
                </pic:pic>
              </a:graphicData>
            </a:graphic>
          </wp:inline>
        </w:drawing>
      </w:r>
    </w:p>
    <w:p w14:paraId="28AD5F8E" w14:textId="0B65883A" w:rsidR="00C93A56" w:rsidRDefault="00C93A56" w:rsidP="00006EDC">
      <w:pPr>
        <w:pStyle w:val="FigureTableTitles"/>
        <w:sectPr w:rsidR="00C93A56" w:rsidSect="00430425">
          <w:footnotePr>
            <w:numRestart w:val="eachPage"/>
          </w:footnotePr>
          <w:pgSz w:w="15840" w:h="12240" w:orient="landscape" w:code="1"/>
          <w:pgMar w:top="1440" w:right="720" w:bottom="1440" w:left="720" w:header="720" w:footer="720" w:gutter="0"/>
          <w:pgNumType w:chapStyle="1"/>
          <w:cols w:space="720"/>
          <w:formProt w:val="0"/>
          <w:noEndnote/>
          <w:titlePg/>
          <w:docGrid w:linePitch="326"/>
        </w:sectPr>
      </w:pPr>
    </w:p>
    <w:p w14:paraId="1E37A3FA" w14:textId="26F3C76D" w:rsidR="00C93A56" w:rsidRPr="008E1551" w:rsidRDefault="00C93A56" w:rsidP="00B16524">
      <w:pPr>
        <w:pStyle w:val="Heading3"/>
        <w:numPr>
          <w:ilvl w:val="2"/>
          <w:numId w:val="3"/>
        </w:numPr>
        <w:rPr>
          <w:iCs/>
          <w:szCs w:val="23"/>
        </w:rPr>
      </w:pPr>
      <w:bookmarkStart w:id="293" w:name="_Toc494293023"/>
      <w:bookmarkStart w:id="294" w:name="_Toc520300760"/>
      <w:bookmarkStart w:id="295" w:name="_Toc520822956"/>
      <w:bookmarkStart w:id="296" w:name="_Toc520911001"/>
      <w:bookmarkStart w:id="297" w:name="_Toc520911382"/>
      <w:bookmarkStart w:id="298" w:name="_Toc154068786"/>
      <w:r>
        <w:t>W</w:t>
      </w:r>
      <w:r w:rsidRPr="008E1551">
        <w:t>astewater Services</w:t>
      </w:r>
      <w:bookmarkEnd w:id="293"/>
      <w:bookmarkEnd w:id="294"/>
      <w:bookmarkEnd w:id="295"/>
      <w:bookmarkEnd w:id="296"/>
      <w:bookmarkEnd w:id="297"/>
      <w:bookmarkEnd w:id="298"/>
    </w:p>
    <w:p w14:paraId="579A7C0B" w14:textId="0294E2A2" w:rsidR="00C93A56" w:rsidRDefault="00E440CD" w:rsidP="00006EDC">
      <w:pPr>
        <w:pStyle w:val="BodyText125"/>
      </w:pPr>
      <w:r>
        <w:t>T</w:t>
      </w:r>
      <w:r w:rsidR="00F8331B">
        <w:t xml:space="preserve">he City has identified 14 </w:t>
      </w:r>
      <w:r w:rsidR="00F8331B" w:rsidRPr="00F8331B">
        <w:t>projects to expand its wastewater infrastructure, which totals $</w:t>
      </w:r>
      <w:r w:rsidR="00F8331B">
        <w:t>16.</w:t>
      </w:r>
      <w:r w:rsidR="00DE0A56">
        <w:t xml:space="preserve">83 </w:t>
      </w:r>
      <w:r w:rsidR="00F8331B">
        <w:t>million</w:t>
      </w:r>
      <w:r w:rsidR="00F8331B" w:rsidRPr="00F8331B">
        <w:t xml:space="preserve">.  The capital projects include various works related to adding and expanding trunk sewers, infrastructure upsizing, and other growth-related works.  In addition to these costs, an estimated </w:t>
      </w:r>
      <w:r w:rsidR="00F8331B">
        <w:t>debt (existing, approved but not yet issued, and future)</w:t>
      </w:r>
      <w:r w:rsidR="00F8331B" w:rsidRPr="00F8331B">
        <w:t xml:space="preserve"> amount</w:t>
      </w:r>
      <w:r w:rsidR="00F8331B">
        <w:t>s</w:t>
      </w:r>
      <w:r w:rsidR="00F8331B" w:rsidRPr="00F8331B">
        <w:t xml:space="preserve"> of </w:t>
      </w:r>
      <w:r w:rsidR="00F8331B">
        <w:t xml:space="preserve">approximately </w:t>
      </w:r>
      <w:r w:rsidR="00F8331B" w:rsidRPr="00F8331B">
        <w:t>$</w:t>
      </w:r>
      <w:r w:rsidR="00F8331B">
        <w:t>22.14</w:t>
      </w:r>
      <w:r w:rsidR="00F8331B" w:rsidRPr="00F8331B">
        <w:t xml:space="preserve"> </w:t>
      </w:r>
      <w:r w:rsidR="00F8331B">
        <w:t xml:space="preserve">million </w:t>
      </w:r>
      <w:r w:rsidR="00F8331B" w:rsidRPr="00F8331B">
        <w:t>has been included, along with the reserve fund deficit of $</w:t>
      </w:r>
      <w:r w:rsidR="00F8331B">
        <w:t>4.</w:t>
      </w:r>
      <w:r w:rsidR="00DE0A56">
        <w:t>92</w:t>
      </w:r>
      <w:r w:rsidR="00F8331B">
        <w:t xml:space="preserve"> million</w:t>
      </w:r>
      <w:r w:rsidR="00F8331B" w:rsidRPr="00F8331B">
        <w:t xml:space="preserve">, for a gross total cost of </w:t>
      </w:r>
      <w:r w:rsidR="00F8331B">
        <w:t xml:space="preserve">approximately </w:t>
      </w:r>
      <w:r w:rsidR="00F8331B" w:rsidRPr="00F8331B">
        <w:t>$</w:t>
      </w:r>
      <w:r w:rsidR="00F8331B">
        <w:t>43.</w:t>
      </w:r>
      <w:r w:rsidR="00DE0A56">
        <w:t xml:space="preserve">89 </w:t>
      </w:r>
      <w:r w:rsidR="00F8331B">
        <w:t>million</w:t>
      </w:r>
      <w:r w:rsidR="00F8331B" w:rsidRPr="00F8331B">
        <w:t xml:space="preserve">.  Deductions for the </w:t>
      </w:r>
      <w:r>
        <w:t xml:space="preserve">share of the costs that </w:t>
      </w:r>
      <w:r w:rsidR="00F8331B" w:rsidRPr="00F8331B">
        <w:t xml:space="preserve">benefit </w:t>
      </w:r>
      <w:r>
        <w:t>existing development have been made, totalling $418,500.  Further deductions for the share of the costs that benefit growth beyond the forecast period totalling</w:t>
      </w:r>
      <w:r w:rsidR="00DE0A56">
        <w:t xml:space="preserve"> approximately</w:t>
      </w:r>
      <w:r>
        <w:t xml:space="preserve"> </w:t>
      </w:r>
      <w:r w:rsidR="00F8331B" w:rsidRPr="00F8331B">
        <w:t>$</w:t>
      </w:r>
      <w:r w:rsidR="00F8331B">
        <w:t>1.</w:t>
      </w:r>
      <w:r w:rsidR="00DE0A56">
        <w:t xml:space="preserve">32 </w:t>
      </w:r>
      <w:r w:rsidR="00F8331B">
        <w:t xml:space="preserve">million </w:t>
      </w:r>
      <w:r w:rsidR="00F8331B" w:rsidRPr="00F8331B">
        <w:t>have been made. Also, deduction</w:t>
      </w:r>
      <w:r w:rsidR="00F8331B">
        <w:t>s</w:t>
      </w:r>
      <w:r w:rsidR="00F8331B" w:rsidRPr="00F8331B">
        <w:t xml:space="preserve"> to recognize </w:t>
      </w:r>
      <w:r w:rsidR="00F8331B">
        <w:t>other</w:t>
      </w:r>
      <w:r w:rsidR="00F8331B" w:rsidRPr="00F8331B">
        <w:t xml:space="preserve"> contribution</w:t>
      </w:r>
      <w:r w:rsidR="00F8331B">
        <w:t>s</w:t>
      </w:r>
      <w:r w:rsidR="00F8331B" w:rsidRPr="00F8331B">
        <w:t xml:space="preserve"> in the amount o</w:t>
      </w:r>
      <w:r w:rsidR="00F8331B">
        <w:t xml:space="preserve">f approximately </w:t>
      </w:r>
      <w:r w:rsidR="00F8331B" w:rsidRPr="00F8331B">
        <w:t>$</w:t>
      </w:r>
      <w:r w:rsidR="00DE0A56">
        <w:t>2.11</w:t>
      </w:r>
      <w:r w:rsidR="00F8331B">
        <w:t xml:space="preserve"> million</w:t>
      </w:r>
      <w:r w:rsidR="00F8331B" w:rsidRPr="00F8331B">
        <w:t xml:space="preserve"> </w:t>
      </w:r>
      <w:r w:rsidR="0084196F">
        <w:t>have been included in the calculations</w:t>
      </w:r>
      <w:r w:rsidR="00F8331B" w:rsidRPr="00F8331B">
        <w:t xml:space="preserve">, resulting in a D.C. eligible amount of </w:t>
      </w:r>
      <w:r w:rsidR="00F8331B">
        <w:t xml:space="preserve">approximately </w:t>
      </w:r>
      <w:r w:rsidR="00F8331B" w:rsidRPr="00F8331B">
        <w:t>$</w:t>
      </w:r>
      <w:r w:rsidR="00C60CED">
        <w:t>2</w:t>
      </w:r>
      <w:r w:rsidR="00C60CED">
        <w:t>8</w:t>
      </w:r>
      <w:r w:rsidR="00DE0A56">
        <w:t>.</w:t>
      </w:r>
      <w:r w:rsidR="00C60CED">
        <w:t>97</w:t>
      </w:r>
      <w:r w:rsidR="00C60CED">
        <w:t xml:space="preserve"> </w:t>
      </w:r>
      <w:r w:rsidR="00F8331B">
        <w:t>million</w:t>
      </w:r>
      <w:r w:rsidR="00F8331B" w:rsidRPr="00F8331B">
        <w:t xml:space="preserve"> to be recovered over the current forecast period.</w:t>
      </w:r>
      <w:r w:rsidR="00C93A56">
        <w:t xml:space="preserve">  </w:t>
      </w:r>
    </w:p>
    <w:p w14:paraId="704FA88C" w14:textId="12A5F41B" w:rsidR="00C93A56" w:rsidRDefault="00F8331B" w:rsidP="00006EDC">
      <w:pPr>
        <w:pStyle w:val="BodyText125"/>
      </w:pPr>
      <w:r w:rsidRPr="00F8331B">
        <w:t xml:space="preserve">The costs for all </w:t>
      </w:r>
      <w:r w:rsidR="0084196F">
        <w:t>wastewater</w:t>
      </w:r>
      <w:r w:rsidRPr="00F8331B">
        <w:t xml:space="preserve"> services are shared at </w:t>
      </w:r>
      <w:r>
        <w:t>6</w:t>
      </w:r>
      <w:r w:rsidR="007D0EB3">
        <w:t>8</w:t>
      </w:r>
      <w:r w:rsidRPr="00F8331B">
        <w:t xml:space="preserve">% residential benefit and </w:t>
      </w:r>
      <w:r>
        <w:t>3</w:t>
      </w:r>
      <w:r w:rsidR="007D0EB3">
        <w:t>2</w:t>
      </w:r>
      <w:r w:rsidRPr="00F8331B">
        <w:t>% non-residential benefit, based on the population to employment ratio over the forecast period</w:t>
      </w:r>
      <w:r w:rsidR="00C93A56" w:rsidRPr="007D359C">
        <w:t>.</w:t>
      </w:r>
    </w:p>
    <w:p w14:paraId="22D7047F" w14:textId="77777777" w:rsidR="00F8331B" w:rsidRDefault="00C93A56" w:rsidP="00C93A56">
      <w:pPr>
        <w:rPr>
          <w:szCs w:val="23"/>
        </w:rPr>
        <w:sectPr w:rsidR="00F8331B" w:rsidSect="00430425">
          <w:footnotePr>
            <w:numRestart w:val="eachPage"/>
          </w:footnotePr>
          <w:pgSz w:w="12240" w:h="15840" w:code="1"/>
          <w:pgMar w:top="720" w:right="1440" w:bottom="720" w:left="1440" w:header="720" w:footer="720" w:gutter="0"/>
          <w:pgNumType w:chapStyle="1"/>
          <w:cols w:space="720"/>
          <w:formProt w:val="0"/>
          <w:noEndnote/>
          <w:titlePg/>
          <w:docGrid w:linePitch="326"/>
        </w:sectPr>
      </w:pPr>
      <w:r>
        <w:rPr>
          <w:szCs w:val="23"/>
        </w:rPr>
        <w:br w:type="page"/>
      </w:r>
    </w:p>
    <w:p w14:paraId="55B188C8" w14:textId="6609E374" w:rsidR="00F8331B" w:rsidRDefault="00F8331B" w:rsidP="00F8331B">
      <w:pPr>
        <w:pStyle w:val="FigureTableTitles"/>
      </w:pPr>
      <w:r>
        <w:t>Table 5-7</w:t>
      </w:r>
    </w:p>
    <w:p w14:paraId="16D9449D" w14:textId="77777777" w:rsidR="00F8331B" w:rsidRDefault="00F8331B" w:rsidP="00F8331B">
      <w:pPr>
        <w:pStyle w:val="FigureTableTitles"/>
      </w:pPr>
      <w:r>
        <w:t>Infrastructure Cost Included in the Development Charges Calculation</w:t>
      </w:r>
    </w:p>
    <w:p w14:paraId="57A6C0C7" w14:textId="2CC8BC5F" w:rsidR="00C93A56" w:rsidRDefault="00F8331B" w:rsidP="00F8331B">
      <w:pPr>
        <w:pStyle w:val="FigureTableTitles"/>
      </w:pPr>
      <w:r>
        <w:t>Wastewater Services</w:t>
      </w:r>
    </w:p>
    <w:p w14:paraId="7343DDDD" w14:textId="08BC50FC" w:rsidR="00C93A56" w:rsidRDefault="00DE0A56" w:rsidP="00F8331B">
      <w:pPr>
        <w:pStyle w:val="BodyText125"/>
        <w:jc w:val="center"/>
        <w:sectPr w:rsidR="00C93A56" w:rsidSect="00F8331B">
          <w:footnotePr>
            <w:numRestart w:val="eachPage"/>
          </w:footnotePr>
          <w:pgSz w:w="15840" w:h="12240" w:orient="landscape" w:code="1"/>
          <w:pgMar w:top="1440" w:right="720" w:bottom="1440" w:left="720" w:header="720" w:footer="720" w:gutter="0"/>
          <w:pgNumType w:chapStyle="1"/>
          <w:cols w:space="720"/>
          <w:formProt w:val="0"/>
          <w:noEndnote/>
          <w:titlePg/>
          <w:docGrid w:linePitch="326"/>
        </w:sectPr>
      </w:pPr>
      <w:r w:rsidRPr="00DE0A56">
        <w:rPr>
          <w:noProof/>
        </w:rPr>
        <w:drawing>
          <wp:inline distT="0" distB="0" distL="0" distR="0" wp14:anchorId="78D3590D" wp14:editId="42B83322">
            <wp:extent cx="8287066" cy="4697730"/>
            <wp:effectExtent l="0" t="0" r="0" b="7620"/>
            <wp:docPr id="1578208928" name="Picture 19" descr="This table outlines the capital needs for wastewat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08928" name="Picture 19" descr="This table outlines the capital needs for wastewater servic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305689" cy="4708287"/>
                    </a:xfrm>
                    <a:prstGeom prst="rect">
                      <a:avLst/>
                    </a:prstGeom>
                    <a:noFill/>
                    <a:ln>
                      <a:noFill/>
                    </a:ln>
                  </pic:spPr>
                </pic:pic>
              </a:graphicData>
            </a:graphic>
          </wp:inline>
        </w:drawing>
      </w:r>
    </w:p>
    <w:p w14:paraId="03D8A9F6" w14:textId="261E5F82" w:rsidR="0087411D" w:rsidRDefault="0087411D" w:rsidP="0087411D">
      <w:pPr>
        <w:pStyle w:val="Heading3"/>
      </w:pPr>
      <w:bookmarkStart w:id="299" w:name="_Toc154068787"/>
      <w:r>
        <w:t xml:space="preserve">Stormwater </w:t>
      </w:r>
      <w:r w:rsidR="00F8331B">
        <w:t xml:space="preserve">Drainage and Control </w:t>
      </w:r>
      <w:r>
        <w:t>Services</w:t>
      </w:r>
      <w:bookmarkEnd w:id="299"/>
    </w:p>
    <w:p w14:paraId="7C56C221" w14:textId="0C04197B" w:rsidR="00F8331B" w:rsidRDefault="0084196F" w:rsidP="00F8331B">
      <w:pPr>
        <w:pStyle w:val="BodyText125"/>
        <w:rPr>
          <w:lang w:eastAsia="ja-JP"/>
        </w:rPr>
      </w:pPr>
      <w:r>
        <w:rPr>
          <w:lang w:eastAsia="ja-JP"/>
        </w:rPr>
        <w:t xml:space="preserve">As noted in Section 4.8 of this report, a number of growth-related projects identified in the 2019 D.C. background study have been started and/or have approved funding.  As a result, one (1) project remains on the capital list.  This project reflects anticipated oversizing of infrastructure in future developments.  The total gross capital cost estimate included in the D.C. calculations is </w:t>
      </w:r>
      <w:r w:rsidR="00F8331B">
        <w:rPr>
          <w:lang w:eastAsia="ja-JP"/>
        </w:rPr>
        <w:t>$650,000</w:t>
      </w:r>
      <w:r w:rsidR="003A320B">
        <w:rPr>
          <w:lang w:eastAsia="ja-JP"/>
        </w:rPr>
        <w:t xml:space="preserve">. </w:t>
      </w:r>
      <w:r w:rsidR="00F8331B">
        <w:rPr>
          <w:lang w:eastAsia="ja-JP"/>
        </w:rPr>
        <w:t xml:space="preserve"> </w:t>
      </w:r>
      <w:r>
        <w:rPr>
          <w:lang w:eastAsia="ja-JP"/>
        </w:rPr>
        <w:t>Further,</w:t>
      </w:r>
      <w:r w:rsidR="00DE0A56">
        <w:rPr>
          <w:lang w:eastAsia="ja-JP"/>
        </w:rPr>
        <w:t xml:space="preserve"> approximately</w:t>
      </w:r>
      <w:r>
        <w:rPr>
          <w:lang w:eastAsia="ja-JP"/>
        </w:rPr>
        <w:t xml:space="preserve"> $</w:t>
      </w:r>
      <w:r w:rsidR="00DE0A56">
        <w:rPr>
          <w:lang w:eastAsia="ja-JP"/>
        </w:rPr>
        <w:t>2.54 million</w:t>
      </w:r>
      <w:r>
        <w:rPr>
          <w:lang w:eastAsia="ja-JP"/>
        </w:rPr>
        <w:t xml:space="preserve"> has been added to the calculations to reflect the adjusted reserve fund deficit identified in Section 4.8, </w:t>
      </w:r>
      <w:r w:rsidR="00F8331B" w:rsidRPr="00F8331B">
        <w:rPr>
          <w:lang w:eastAsia="ja-JP"/>
        </w:rPr>
        <w:t xml:space="preserve">resulting in a D.C. eligible amount of </w:t>
      </w:r>
      <w:r w:rsidR="00694631">
        <w:rPr>
          <w:lang w:eastAsia="ja-JP"/>
        </w:rPr>
        <w:t xml:space="preserve">approximately </w:t>
      </w:r>
      <w:r w:rsidR="00F8331B" w:rsidRPr="00F8331B">
        <w:rPr>
          <w:lang w:eastAsia="ja-JP"/>
        </w:rPr>
        <w:t>$</w:t>
      </w:r>
      <w:r>
        <w:rPr>
          <w:lang w:eastAsia="ja-JP"/>
        </w:rPr>
        <w:t>3</w:t>
      </w:r>
      <w:r w:rsidR="003A320B">
        <w:rPr>
          <w:lang w:eastAsia="ja-JP"/>
        </w:rPr>
        <w:t>.</w:t>
      </w:r>
      <w:r w:rsidR="00694631">
        <w:rPr>
          <w:lang w:eastAsia="ja-JP"/>
        </w:rPr>
        <w:t xml:space="preserve">19 </w:t>
      </w:r>
      <w:r w:rsidR="003A320B">
        <w:rPr>
          <w:lang w:eastAsia="ja-JP"/>
        </w:rPr>
        <w:t>million</w:t>
      </w:r>
      <w:r w:rsidR="00F8331B" w:rsidRPr="00F8331B">
        <w:rPr>
          <w:lang w:eastAsia="ja-JP"/>
        </w:rPr>
        <w:t xml:space="preserve"> to be recovered over the forecast period</w:t>
      </w:r>
      <w:r w:rsidR="003A320B">
        <w:rPr>
          <w:lang w:eastAsia="ja-JP"/>
        </w:rPr>
        <w:t>.</w:t>
      </w:r>
    </w:p>
    <w:p w14:paraId="626470C3" w14:textId="53EF1192" w:rsidR="003A320B" w:rsidRDefault="003A320B" w:rsidP="00F8331B">
      <w:pPr>
        <w:pStyle w:val="BodyText125"/>
        <w:sectPr w:rsidR="003A320B" w:rsidSect="0087411D">
          <w:footnotePr>
            <w:numRestart w:val="eachPage"/>
          </w:footnotePr>
          <w:pgSz w:w="12240" w:h="15840" w:code="1"/>
          <w:pgMar w:top="720" w:right="1440" w:bottom="720" w:left="1440" w:header="720" w:footer="720" w:gutter="0"/>
          <w:pgNumType w:chapStyle="1"/>
          <w:cols w:space="720"/>
          <w:formProt w:val="0"/>
          <w:noEndnote/>
          <w:titlePg/>
          <w:docGrid w:linePitch="326"/>
        </w:sectPr>
      </w:pPr>
      <w:r w:rsidRPr="00F8331B">
        <w:t xml:space="preserve">The costs for all </w:t>
      </w:r>
      <w:r>
        <w:t>storm</w:t>
      </w:r>
      <w:r w:rsidRPr="00F8331B">
        <w:t xml:space="preserve">water services are shared at </w:t>
      </w:r>
      <w:r>
        <w:t>50</w:t>
      </w:r>
      <w:r w:rsidRPr="00F8331B">
        <w:t xml:space="preserve">% residential benefit and </w:t>
      </w:r>
      <w:r>
        <w:t>50</w:t>
      </w:r>
      <w:r w:rsidRPr="00F8331B">
        <w:t xml:space="preserve">% non-residential benefit, based on the </w:t>
      </w:r>
      <w:r w:rsidR="0084196F">
        <w:t xml:space="preserve">servicing area </w:t>
      </w:r>
      <w:r w:rsidRPr="00F8331B">
        <w:t>ratio over the forecast period</w:t>
      </w:r>
      <w:r>
        <w:t>.</w:t>
      </w:r>
    </w:p>
    <w:p w14:paraId="0F8A4122" w14:textId="3031C5C3" w:rsidR="003A320B" w:rsidRDefault="003A320B" w:rsidP="003A320B">
      <w:pPr>
        <w:pStyle w:val="FigureTableTitles"/>
      </w:pPr>
      <w:r>
        <w:t>Table 5-8</w:t>
      </w:r>
    </w:p>
    <w:p w14:paraId="45F15DAA" w14:textId="77777777" w:rsidR="003A320B" w:rsidRDefault="003A320B" w:rsidP="003A320B">
      <w:pPr>
        <w:pStyle w:val="FigureTableTitles"/>
      </w:pPr>
      <w:r>
        <w:t>Infrastructure Cost Included in the Development Charges Calculation</w:t>
      </w:r>
    </w:p>
    <w:p w14:paraId="376FC74F" w14:textId="20F6B695" w:rsidR="003A320B" w:rsidRDefault="003A320B" w:rsidP="003A320B">
      <w:pPr>
        <w:pStyle w:val="FigureTableTitles"/>
      </w:pPr>
      <w:r>
        <w:t>Stormwater Services</w:t>
      </w:r>
    </w:p>
    <w:p w14:paraId="7C955EF9" w14:textId="71001BEB" w:rsidR="003A320B" w:rsidRPr="00F8331B" w:rsidRDefault="00694631" w:rsidP="003A320B">
      <w:pPr>
        <w:pStyle w:val="BodyText125"/>
        <w:jc w:val="center"/>
        <w:rPr>
          <w:lang w:eastAsia="ja-JP"/>
        </w:rPr>
      </w:pPr>
      <w:r w:rsidRPr="00694631">
        <w:rPr>
          <w:noProof/>
        </w:rPr>
        <w:drawing>
          <wp:inline distT="0" distB="0" distL="0" distR="0" wp14:anchorId="7DCB4958" wp14:editId="79E0BD60">
            <wp:extent cx="9144000" cy="1821815"/>
            <wp:effectExtent l="0" t="0" r="0" b="6985"/>
            <wp:docPr id="1977856902" name="Picture 20" descr="This table outlines the capital needs for stormwate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56902" name="Picture 20" descr="This table outlines the capital needs for stormwater service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0" cy="1821815"/>
                    </a:xfrm>
                    <a:prstGeom prst="rect">
                      <a:avLst/>
                    </a:prstGeom>
                    <a:noFill/>
                    <a:ln>
                      <a:noFill/>
                    </a:ln>
                  </pic:spPr>
                </pic:pic>
              </a:graphicData>
            </a:graphic>
          </wp:inline>
        </w:drawing>
      </w:r>
    </w:p>
    <w:p w14:paraId="11E1EE93" w14:textId="77777777" w:rsidR="00F8331B" w:rsidRPr="00F8331B" w:rsidRDefault="00F8331B" w:rsidP="00F8331B">
      <w:pPr>
        <w:pStyle w:val="BodyText125"/>
        <w:rPr>
          <w:lang w:eastAsia="ja-JP"/>
        </w:rPr>
      </w:pPr>
    </w:p>
    <w:p w14:paraId="564A6B51" w14:textId="3EA610A0" w:rsidR="0087411D" w:rsidRDefault="0087411D" w:rsidP="00B57375">
      <w:pPr>
        <w:pStyle w:val="FigureTableTitles"/>
        <w:jc w:val="left"/>
        <w:sectPr w:rsidR="0087411D" w:rsidSect="003A320B">
          <w:footnotePr>
            <w:numRestart w:val="eachPage"/>
          </w:footnotePr>
          <w:pgSz w:w="15840" w:h="12240" w:orient="landscape" w:code="1"/>
          <w:pgMar w:top="1440" w:right="720" w:bottom="1440" w:left="720" w:header="720" w:footer="720" w:gutter="0"/>
          <w:pgNumType w:chapStyle="1"/>
          <w:cols w:space="720"/>
          <w:formProt w:val="0"/>
          <w:noEndnote/>
          <w:titlePg/>
          <w:docGrid w:linePitch="326"/>
        </w:sectPr>
      </w:pPr>
      <w:r>
        <w:br/>
      </w:r>
      <w:r>
        <w:br/>
      </w:r>
      <w:r>
        <w:br/>
      </w:r>
    </w:p>
    <w:p w14:paraId="77AB045C" w14:textId="77777777" w:rsidR="00E422F8" w:rsidRPr="00174968" w:rsidRDefault="00821EDC" w:rsidP="006A7162">
      <w:pPr>
        <w:pStyle w:val="ChapterDividers"/>
        <w:sectPr w:rsidR="00E422F8" w:rsidRPr="00174968" w:rsidSect="00CE12B2">
          <w:footerReference w:type="default" r:id="rId73"/>
          <w:footerReference w:type="first" r:id="rId74"/>
          <w:footnotePr>
            <w:numRestart w:val="eachPage"/>
          </w:footnotePr>
          <w:pgSz w:w="12240" w:h="15840" w:code="1"/>
          <w:pgMar w:top="1440" w:right="1440" w:bottom="1440" w:left="1440" w:header="432" w:footer="619" w:gutter="0"/>
          <w:pgNumType w:chapStyle="1"/>
          <w:cols w:space="708"/>
          <w:titlePg/>
          <w:docGrid w:linePitch="360"/>
        </w:sectPr>
      </w:pPr>
      <w:bookmarkStart w:id="300" w:name="_Toc520822960"/>
      <w:bookmarkStart w:id="301" w:name="_Toc520911005"/>
      <w:bookmarkStart w:id="302" w:name="_Toc520911386"/>
      <w:r>
        <w:t>Chapter 6</w:t>
      </w:r>
      <w:r w:rsidR="00620725">
        <w:t xml:space="preserve"> </w:t>
      </w:r>
      <w:r w:rsidR="00620725">
        <w:br/>
      </w:r>
      <w:r w:rsidRPr="00DC5440">
        <w:rPr>
          <w:rStyle w:val="ChapterDividersTitleChar"/>
          <w:color w:val="000000"/>
        </w:rPr>
        <w:t>D.C. Calculation</w:t>
      </w:r>
      <w:bookmarkEnd w:id="300"/>
      <w:bookmarkEnd w:id="301"/>
      <w:bookmarkEnd w:id="302"/>
    </w:p>
    <w:p w14:paraId="76D32F76" w14:textId="77777777" w:rsidR="005C382D" w:rsidRPr="007551D9" w:rsidRDefault="00E3772E" w:rsidP="00F5670B">
      <w:pPr>
        <w:pStyle w:val="Heading1"/>
        <w:rPr>
          <w:noProof/>
        </w:rPr>
      </w:pPr>
      <w:bookmarkStart w:id="303" w:name="_Toc520822961"/>
      <w:bookmarkStart w:id="304" w:name="_Toc520911006"/>
      <w:bookmarkStart w:id="305" w:name="_Toc520911387"/>
      <w:bookmarkStart w:id="306" w:name="_Toc154068788"/>
      <w:r w:rsidRPr="007551D9">
        <w:rPr>
          <w:noProof/>
        </w:rPr>
        <w:t>D.C. Calculation</w:t>
      </w:r>
      <w:bookmarkEnd w:id="303"/>
      <w:bookmarkEnd w:id="304"/>
      <w:bookmarkEnd w:id="305"/>
      <w:bookmarkEnd w:id="306"/>
    </w:p>
    <w:p w14:paraId="1ED0C452" w14:textId="64C4D97C" w:rsidR="00E3772E" w:rsidRPr="007551D9" w:rsidRDefault="00E3772E" w:rsidP="002E2F9B">
      <w:pPr>
        <w:pStyle w:val="BodyText125"/>
      </w:pPr>
      <w:r w:rsidRPr="007551D9">
        <w:t>Table 6-1</w:t>
      </w:r>
      <w:r w:rsidR="004C37B5">
        <w:t xml:space="preserve"> </w:t>
      </w:r>
      <w:r w:rsidRPr="007551D9">
        <w:t>calculates the proposed uniform D.C.s to be imposed for infrastructure services based upon a</w:t>
      </w:r>
      <w:r w:rsidR="007D0EB3">
        <w:t>n urban area</w:t>
      </w:r>
      <w:r w:rsidRPr="007551D9">
        <w:t xml:space="preserve"> 1</w:t>
      </w:r>
      <w:r w:rsidR="004C37B5">
        <w:t>0</w:t>
      </w:r>
      <w:r w:rsidRPr="007551D9">
        <w:t xml:space="preserve">-year </w:t>
      </w:r>
      <w:r w:rsidR="004C37B5">
        <w:t>forecast period</w:t>
      </w:r>
      <w:r w:rsidRPr="007551D9">
        <w:t xml:space="preserve"> (stormwater, wastewater, and water).  Table 6-2 calculates the proposed uniform D.C. to be imposed on anticipated development in the </w:t>
      </w:r>
      <w:r w:rsidR="00A1355F" w:rsidRPr="007551D9">
        <w:t>City</w:t>
      </w:r>
      <w:r w:rsidRPr="007551D9">
        <w:t xml:space="preserve"> for </w:t>
      </w:r>
      <w:r w:rsidR="0084196F">
        <w:t xml:space="preserve">all other </w:t>
      </w:r>
      <w:r w:rsidR="00A1355F" w:rsidRPr="007551D9">
        <w:t>City</w:t>
      </w:r>
      <w:r w:rsidRPr="007551D9">
        <w:t xml:space="preserve">-wide services over </w:t>
      </w:r>
      <w:r w:rsidR="004C37B5">
        <w:t>a 10</w:t>
      </w:r>
      <w:r w:rsidRPr="007551D9">
        <w:t xml:space="preserve">-year </w:t>
      </w:r>
      <w:r w:rsidR="004C37B5">
        <w:t>forecast period</w:t>
      </w:r>
      <w:r w:rsidRPr="007551D9">
        <w:t xml:space="preserve">.  </w:t>
      </w:r>
    </w:p>
    <w:p w14:paraId="4A083A68" w14:textId="77777777" w:rsidR="00E3772E" w:rsidRPr="007551D9" w:rsidRDefault="00E3772E" w:rsidP="002E2F9B">
      <w:pPr>
        <w:pStyle w:val="BodyText125"/>
      </w:pPr>
      <w:r w:rsidRPr="007551D9">
        <w:t>The calculation for residential development is generated on a per capita basis and is based upon five forms of housing types (single</w:t>
      </w:r>
      <w:r w:rsidR="002E42D2" w:rsidRPr="007551D9">
        <w:t>s</w:t>
      </w:r>
      <w:r w:rsidRPr="007551D9">
        <w:t xml:space="preserve"> and semi-detached, apartments 2+ bedrooms, apartments bachelor and 1 bedroom, all other multiples</w:t>
      </w:r>
      <w:r w:rsidR="00627E48" w:rsidRPr="007551D9">
        <w:t>,</w:t>
      </w:r>
      <w:r w:rsidRPr="007551D9">
        <w:t xml:space="preserve"> and special care</w:t>
      </w:r>
      <w:r w:rsidR="002E42D2" w:rsidRPr="007551D9">
        <w:t>/‌</w:t>
      </w:r>
      <w:r w:rsidRPr="007551D9">
        <w:t xml:space="preserve">special dwelling units).  The non-residential D.C. has been calculated on a per sq.ft. of </w:t>
      </w:r>
      <w:r w:rsidR="00694A7B" w:rsidRPr="007551D9">
        <w:t>G.F.A.</w:t>
      </w:r>
      <w:r w:rsidRPr="007551D9">
        <w:t xml:space="preserve"> basis for all types of non-residential development (industrial, commercial</w:t>
      </w:r>
      <w:r w:rsidR="00B90C92" w:rsidRPr="007551D9">
        <w:t>,</w:t>
      </w:r>
      <w:r w:rsidRPr="007551D9">
        <w:t xml:space="preserve"> and institutional).</w:t>
      </w:r>
    </w:p>
    <w:p w14:paraId="38B57F99" w14:textId="49EEC2B7" w:rsidR="00E3772E" w:rsidRPr="007551D9" w:rsidRDefault="00E3772E" w:rsidP="002E2F9B">
      <w:pPr>
        <w:pStyle w:val="BodyText125"/>
      </w:pPr>
      <w:r w:rsidRPr="007551D9">
        <w:t xml:space="preserve">The D.C.-eligible costs for each service component were developed in Chapter 5 for all </w:t>
      </w:r>
      <w:r w:rsidR="00A1355F" w:rsidRPr="007551D9">
        <w:t>City</w:t>
      </w:r>
      <w:r w:rsidRPr="007551D9">
        <w:t xml:space="preserve"> services, based on their proposed capital programs.  </w:t>
      </w:r>
    </w:p>
    <w:p w14:paraId="25ECE5ED" w14:textId="67709C84" w:rsidR="00E3772E" w:rsidRPr="00982558" w:rsidRDefault="00E3772E" w:rsidP="002E2F9B">
      <w:pPr>
        <w:pStyle w:val="BodyText125"/>
      </w:pPr>
      <w:r w:rsidRPr="007551D9">
        <w:t>For the residential calculations, the total cost is divided by the “gross” (new resident) population to determine the per capita amount.  The eligible</w:t>
      </w:r>
      <w:r w:rsidR="00627E48" w:rsidRPr="007551D9">
        <w:t>-</w:t>
      </w:r>
      <w:r w:rsidRPr="007551D9">
        <w:t>D.C. cost calculations set out in Chapter 5 are based on the net anticipated population increase (the forecast new unit population less the anticipated decline in existing units).  The cost per capita is then multiplied by the average occupancy of the new units (Appendix A, Schedule 5) to</w:t>
      </w:r>
      <w:r w:rsidRPr="00982558">
        <w:t xml:space="preserve"> calculate the charge in Tables 6-</w:t>
      </w:r>
      <w:r>
        <w:t>1</w:t>
      </w:r>
      <w:r w:rsidR="004C37B5">
        <w:t xml:space="preserve"> and</w:t>
      </w:r>
      <w:r>
        <w:t xml:space="preserve"> 6-2</w:t>
      </w:r>
      <w:r w:rsidR="004C37B5">
        <w:t>.</w:t>
      </w:r>
    </w:p>
    <w:p w14:paraId="0C3D8AAB" w14:textId="77777777" w:rsidR="00E3772E" w:rsidRPr="00982558" w:rsidRDefault="00E3772E" w:rsidP="002E2F9B">
      <w:pPr>
        <w:pStyle w:val="BodyText125"/>
      </w:pPr>
      <w:r w:rsidRPr="00982558">
        <w:t xml:space="preserve">With respect to non-residential development, the total costs in the uniform charge allocated to non-residential development (based on need for service) have been divided by the anticipated development over the planning period to calculate a cost per sq.ft. of </w:t>
      </w:r>
      <w:r w:rsidR="00694A7B">
        <w:t>G.F.A.</w:t>
      </w:r>
    </w:p>
    <w:p w14:paraId="185B388F" w14:textId="3859CBD2" w:rsidR="004C37B5" w:rsidRDefault="00E3772E" w:rsidP="002E2F9B">
      <w:pPr>
        <w:pStyle w:val="BodyText125"/>
        <w:sectPr w:rsidR="004C37B5" w:rsidSect="00CE12B2">
          <w:footerReference w:type="default" r:id="rId75"/>
          <w:footerReference w:type="first" r:id="rId76"/>
          <w:footnotePr>
            <w:numRestart w:val="eachPage"/>
          </w:footnotePr>
          <w:pgSz w:w="12240" w:h="15840" w:code="1"/>
          <w:pgMar w:top="1440" w:right="1440" w:bottom="1440" w:left="1440" w:header="432" w:footer="619" w:gutter="0"/>
          <w:pgNumType w:start="1" w:chapStyle="1"/>
          <w:cols w:space="708"/>
          <w:titlePg/>
          <w:docGrid w:linePitch="360"/>
        </w:sectPr>
      </w:pPr>
      <w:r w:rsidRPr="00982558">
        <w:t>Table 6-</w:t>
      </w:r>
      <w:r w:rsidR="004C37B5">
        <w:t>3</w:t>
      </w:r>
      <w:r w:rsidRPr="00982558">
        <w:t xml:space="preserve"> summarizes the total </w:t>
      </w:r>
      <w:r>
        <w:t>D.C.</w:t>
      </w:r>
      <w:r w:rsidRPr="00982558">
        <w:t xml:space="preserve"> that is applicable</w:t>
      </w:r>
      <w:r>
        <w:t xml:space="preserve"> for </w:t>
      </w:r>
      <w:r w:rsidR="0084196F">
        <w:t>City</w:t>
      </w:r>
      <w:r>
        <w:t xml:space="preserve">-wide services </w:t>
      </w:r>
      <w:r w:rsidRPr="00982558">
        <w:t>and Table 6-</w:t>
      </w:r>
      <w:r w:rsidR="004C37B5">
        <w:t>4</w:t>
      </w:r>
      <w:r w:rsidRPr="00982558">
        <w:t xml:space="preserve"> summarizes the gross capital expenditures and sources of revenue for works to be undertaken during the life of the by-law.</w:t>
      </w:r>
    </w:p>
    <w:p w14:paraId="2FFD863B" w14:textId="64400803" w:rsidR="00E3772E" w:rsidRDefault="004C37B5" w:rsidP="004C37B5">
      <w:pPr>
        <w:pStyle w:val="FigureTableTitles"/>
      </w:pPr>
      <w:r>
        <w:t>Table 6-1</w:t>
      </w:r>
    </w:p>
    <w:p w14:paraId="5F88E0F1" w14:textId="47B7EBF6" w:rsidR="004C37B5" w:rsidRDefault="004C37B5" w:rsidP="004C37B5">
      <w:pPr>
        <w:pStyle w:val="FigureTableTitles"/>
      </w:pPr>
      <w:r>
        <w:t>City of Cambridge</w:t>
      </w:r>
    </w:p>
    <w:p w14:paraId="48F2CF69" w14:textId="42A7ED1A" w:rsidR="004C37B5" w:rsidRDefault="004C37B5" w:rsidP="004C37B5">
      <w:pPr>
        <w:pStyle w:val="FigureTableTitles"/>
      </w:pPr>
      <w:r>
        <w:t>Development Charge Calculation</w:t>
      </w:r>
    </w:p>
    <w:p w14:paraId="0CE3B684" w14:textId="49B1F573" w:rsidR="004C37B5" w:rsidRDefault="004C37B5" w:rsidP="004C37B5">
      <w:pPr>
        <w:pStyle w:val="FigureTableTitles"/>
      </w:pPr>
      <w:r>
        <w:t>Urban Services and Classes of Services</w:t>
      </w:r>
    </w:p>
    <w:p w14:paraId="38F1EC1A" w14:textId="7F18A6C0" w:rsidR="004C37B5" w:rsidRDefault="004C37B5" w:rsidP="004C37B5">
      <w:pPr>
        <w:pStyle w:val="FigureTableTitles"/>
      </w:pPr>
      <w:r>
        <w:t>2023 to 2032</w:t>
      </w:r>
    </w:p>
    <w:p w14:paraId="0122E4CF" w14:textId="43453BC2" w:rsidR="004C37B5" w:rsidRDefault="00694631" w:rsidP="004C37B5">
      <w:pPr>
        <w:pStyle w:val="BodyText125"/>
        <w:jc w:val="center"/>
      </w:pPr>
      <w:r w:rsidRPr="00694631">
        <w:rPr>
          <w:noProof/>
        </w:rPr>
        <w:drawing>
          <wp:inline distT="0" distB="0" distL="0" distR="0" wp14:anchorId="132C85ED" wp14:editId="6CC9F0F2">
            <wp:extent cx="8229600" cy="4392930"/>
            <wp:effectExtent l="0" t="0" r="0" b="7620"/>
            <wp:docPr id="451486879" name="Picture 21" descr="This table outlines the development charge calculation for the urba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86879" name="Picture 21" descr="This table outlines the development charge calculation for the urban are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29600" cy="4392930"/>
                    </a:xfrm>
                    <a:prstGeom prst="rect">
                      <a:avLst/>
                    </a:prstGeom>
                    <a:noFill/>
                    <a:ln>
                      <a:noFill/>
                    </a:ln>
                  </pic:spPr>
                </pic:pic>
              </a:graphicData>
            </a:graphic>
          </wp:inline>
        </w:drawing>
      </w:r>
    </w:p>
    <w:p w14:paraId="001F6693" w14:textId="4C8575A6" w:rsidR="004C37B5" w:rsidRDefault="002E2F9B" w:rsidP="004C37B5">
      <w:pPr>
        <w:pStyle w:val="FigureTableTitles"/>
      </w:pPr>
      <w:r>
        <w:br w:type="page"/>
      </w:r>
      <w:r w:rsidR="004C37B5">
        <w:t>Table 6-2</w:t>
      </w:r>
    </w:p>
    <w:p w14:paraId="4FAEBB17" w14:textId="77777777" w:rsidR="004C37B5" w:rsidRDefault="004C37B5" w:rsidP="004C37B5">
      <w:pPr>
        <w:pStyle w:val="FigureTableTitles"/>
      </w:pPr>
      <w:r>
        <w:t>City of Cambridge</w:t>
      </w:r>
    </w:p>
    <w:p w14:paraId="7D4C4934" w14:textId="77777777" w:rsidR="004C37B5" w:rsidRDefault="004C37B5" w:rsidP="004C37B5">
      <w:pPr>
        <w:pStyle w:val="FigureTableTitles"/>
      </w:pPr>
      <w:r>
        <w:t>Development Charge Calculation</w:t>
      </w:r>
    </w:p>
    <w:p w14:paraId="72A15509" w14:textId="05C40F0F" w:rsidR="004C37B5" w:rsidRDefault="004C37B5" w:rsidP="004C37B5">
      <w:pPr>
        <w:pStyle w:val="FigureTableTitles"/>
      </w:pPr>
      <w:r>
        <w:t>City-wide Services and Classes of Services</w:t>
      </w:r>
    </w:p>
    <w:p w14:paraId="2C13638C" w14:textId="324831EE" w:rsidR="002E2F9B" w:rsidRDefault="004C37B5" w:rsidP="004C37B5">
      <w:pPr>
        <w:pStyle w:val="FigureTableTitles"/>
      </w:pPr>
      <w:r>
        <w:t>2023 to 2032</w:t>
      </w:r>
    </w:p>
    <w:p w14:paraId="20926F7E" w14:textId="5F047B84" w:rsidR="004C37B5" w:rsidRDefault="00694631" w:rsidP="004C37B5">
      <w:pPr>
        <w:pStyle w:val="BodyText125"/>
        <w:jc w:val="center"/>
      </w:pPr>
      <w:r w:rsidRPr="00694631">
        <w:rPr>
          <w:noProof/>
        </w:rPr>
        <w:drawing>
          <wp:inline distT="0" distB="0" distL="0" distR="0" wp14:anchorId="7EA4BE08" wp14:editId="0E2C5638">
            <wp:extent cx="7106982" cy="4594860"/>
            <wp:effectExtent l="0" t="0" r="0" b="0"/>
            <wp:docPr id="287335091" name="Picture 22" descr="This table outlines the development charge calculation for City-wide services from 2023 to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35091" name="Picture 22" descr="This table outlines the development charge calculation for City-wide services from 2023 to 20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16344" cy="4600913"/>
                    </a:xfrm>
                    <a:prstGeom prst="rect">
                      <a:avLst/>
                    </a:prstGeom>
                    <a:noFill/>
                    <a:ln>
                      <a:noFill/>
                    </a:ln>
                  </pic:spPr>
                </pic:pic>
              </a:graphicData>
            </a:graphic>
          </wp:inline>
        </w:drawing>
      </w:r>
    </w:p>
    <w:p w14:paraId="10586FC7" w14:textId="77777777" w:rsidR="008F135B" w:rsidRDefault="00E3772E" w:rsidP="002E2F9B">
      <w:pPr>
        <w:pStyle w:val="FigureTableTitles"/>
        <w:rPr>
          <w:noProof/>
          <w:lang w:eastAsia="en-CA"/>
        </w:rPr>
      </w:pPr>
      <w:r w:rsidRPr="00982558">
        <w:rPr>
          <w:noProof/>
          <w:lang w:eastAsia="en-CA"/>
        </w:rPr>
        <w:t>Table 6-</w:t>
      </w:r>
      <w:r w:rsidR="008F135B">
        <w:rPr>
          <w:noProof/>
          <w:lang w:eastAsia="en-CA"/>
        </w:rPr>
        <w:t>3</w:t>
      </w:r>
    </w:p>
    <w:p w14:paraId="02064F08" w14:textId="77777777" w:rsidR="008F135B" w:rsidRDefault="008F135B" w:rsidP="002E2F9B">
      <w:pPr>
        <w:pStyle w:val="FigureTableTitles"/>
        <w:rPr>
          <w:noProof/>
          <w:lang w:eastAsia="en-CA"/>
        </w:rPr>
      </w:pPr>
      <w:r>
        <w:rPr>
          <w:noProof/>
          <w:lang w:eastAsia="en-CA"/>
        </w:rPr>
        <w:t>City of Cambridge</w:t>
      </w:r>
    </w:p>
    <w:p w14:paraId="2C8E9033" w14:textId="77777777" w:rsidR="008F135B" w:rsidRDefault="008F135B" w:rsidP="002E2F9B">
      <w:pPr>
        <w:pStyle w:val="FigureTableTitles"/>
        <w:rPr>
          <w:noProof/>
          <w:lang w:eastAsia="en-CA"/>
        </w:rPr>
      </w:pPr>
      <w:r>
        <w:rPr>
          <w:noProof/>
          <w:lang w:eastAsia="en-CA"/>
        </w:rPr>
        <w:t>Development Charge Calculation</w:t>
      </w:r>
    </w:p>
    <w:p w14:paraId="48576F01" w14:textId="77777777" w:rsidR="008F135B" w:rsidRDefault="008F135B" w:rsidP="002E2F9B">
      <w:pPr>
        <w:pStyle w:val="FigureTableTitles"/>
        <w:rPr>
          <w:noProof/>
          <w:lang w:eastAsia="en-CA"/>
        </w:rPr>
      </w:pPr>
      <w:r>
        <w:rPr>
          <w:noProof/>
          <w:lang w:eastAsia="en-CA"/>
        </w:rPr>
        <w:t>Total All Services and Classes of Services</w:t>
      </w:r>
    </w:p>
    <w:p w14:paraId="3BBE8749" w14:textId="421779E9" w:rsidR="0084196F" w:rsidRDefault="00694631" w:rsidP="008F135B">
      <w:pPr>
        <w:pStyle w:val="BodyText125"/>
        <w:rPr>
          <w:caps/>
          <w:sz w:val="32"/>
        </w:rPr>
      </w:pPr>
      <w:r w:rsidRPr="00694631">
        <w:rPr>
          <w:noProof/>
        </w:rPr>
        <w:drawing>
          <wp:inline distT="0" distB="0" distL="0" distR="0" wp14:anchorId="711DCAE1" wp14:editId="591ED4D3">
            <wp:extent cx="8229600" cy="1501140"/>
            <wp:effectExtent l="0" t="0" r="0" b="3810"/>
            <wp:docPr id="1698029363" name="Picture 23" descr="This table summarizes the development charge calculations for all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29363" name="Picture 23" descr="This table summarizes the development charge calculations for all service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29600" cy="1501140"/>
                    </a:xfrm>
                    <a:prstGeom prst="rect">
                      <a:avLst/>
                    </a:prstGeom>
                    <a:noFill/>
                    <a:ln>
                      <a:noFill/>
                    </a:ln>
                  </pic:spPr>
                </pic:pic>
              </a:graphicData>
            </a:graphic>
          </wp:inline>
        </w:drawing>
      </w:r>
    </w:p>
    <w:p w14:paraId="37C6A752" w14:textId="0A56E139" w:rsidR="0084196F" w:rsidRDefault="0084196F" w:rsidP="0084196F">
      <w:pPr>
        <w:pStyle w:val="FigureTableTitles"/>
        <w:rPr>
          <w:noProof/>
          <w:lang w:eastAsia="en-CA"/>
        </w:rPr>
      </w:pPr>
      <w:r w:rsidRPr="00982558">
        <w:rPr>
          <w:noProof/>
          <w:lang w:eastAsia="en-CA"/>
        </w:rPr>
        <w:t>Table 6-</w:t>
      </w:r>
      <w:r>
        <w:rPr>
          <w:noProof/>
          <w:lang w:eastAsia="en-CA"/>
        </w:rPr>
        <w:t>4</w:t>
      </w:r>
    </w:p>
    <w:p w14:paraId="5B0DD1C6" w14:textId="77777777" w:rsidR="0084196F" w:rsidRDefault="0084196F" w:rsidP="0084196F">
      <w:pPr>
        <w:pStyle w:val="FigureTableTitles"/>
        <w:rPr>
          <w:noProof/>
          <w:lang w:eastAsia="en-CA"/>
        </w:rPr>
      </w:pPr>
      <w:r>
        <w:rPr>
          <w:noProof/>
          <w:lang w:eastAsia="en-CA"/>
        </w:rPr>
        <w:t>City of Cambridge</w:t>
      </w:r>
    </w:p>
    <w:p w14:paraId="3C3582BB" w14:textId="59E7E201" w:rsidR="0084196F" w:rsidRDefault="0084196F" w:rsidP="0084196F">
      <w:pPr>
        <w:pStyle w:val="FigureTableTitles"/>
        <w:rPr>
          <w:noProof/>
          <w:lang w:eastAsia="en-CA"/>
        </w:rPr>
      </w:pPr>
      <w:r w:rsidRPr="0084196F">
        <w:rPr>
          <w:noProof/>
          <w:lang w:eastAsia="en-CA"/>
        </w:rPr>
        <w:t>Gross Expenditure and Sources of Revenue Summary</w:t>
      </w:r>
    </w:p>
    <w:p w14:paraId="4F223491" w14:textId="77777777" w:rsidR="00DE5CE7" w:rsidRDefault="0084196F" w:rsidP="00DE5CE7">
      <w:pPr>
        <w:pStyle w:val="FigureTableTitles"/>
        <w:rPr>
          <w:rStyle w:val="FigureTableTitlesChar"/>
        </w:rPr>
      </w:pPr>
      <w:r w:rsidRPr="00DE5CE7">
        <w:t>Total All Services and Classes of Services</w:t>
      </w:r>
    </w:p>
    <w:p w14:paraId="001D35DF" w14:textId="2FC0A164" w:rsidR="0084196F" w:rsidRDefault="00694631" w:rsidP="00DE5CE7">
      <w:pPr>
        <w:pStyle w:val="BodyText125"/>
        <w:rPr>
          <w:caps/>
          <w:sz w:val="32"/>
        </w:rPr>
      </w:pPr>
      <w:r w:rsidRPr="00694631">
        <w:rPr>
          <w:noProof/>
        </w:rPr>
        <w:drawing>
          <wp:inline distT="0" distB="0" distL="0" distR="0" wp14:anchorId="11344F85" wp14:editId="6C6C51AF">
            <wp:extent cx="8229600" cy="3956685"/>
            <wp:effectExtent l="0" t="0" r="0" b="5715"/>
            <wp:docPr id="1484843749" name="Picture 24" descr="This table outlines the gross expenditures and sources of revenue summary for costs to be incurred over the life of the by-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43749" name="Picture 24" descr="This table outlines the gross expenditures and sources of revenue summary for costs to be incurred over the life of the by-law."/>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29600" cy="3956685"/>
                    </a:xfrm>
                    <a:prstGeom prst="rect">
                      <a:avLst/>
                    </a:prstGeom>
                    <a:noFill/>
                    <a:ln>
                      <a:noFill/>
                    </a:ln>
                  </pic:spPr>
                </pic:pic>
              </a:graphicData>
            </a:graphic>
          </wp:inline>
        </w:drawing>
      </w:r>
    </w:p>
    <w:p w14:paraId="7D0FF49E" w14:textId="57C01CC9" w:rsidR="00E3772E" w:rsidRPr="00BD7CEF" w:rsidRDefault="00E3772E" w:rsidP="0084196F">
      <w:pPr>
        <w:pStyle w:val="BodyText125"/>
      </w:pPr>
      <w:r w:rsidRPr="00982558">
        <w:rPr>
          <w:caps/>
          <w:sz w:val="32"/>
        </w:rPr>
        <w:br w:type="page"/>
      </w:r>
    </w:p>
    <w:p w14:paraId="68284A41" w14:textId="6FEE731C" w:rsidR="00821EDC" w:rsidRDefault="00821EDC" w:rsidP="00E3772E">
      <w:pPr>
        <w:pStyle w:val="BodyText125"/>
        <w:rPr>
          <w:i/>
          <w:noProof/>
        </w:rPr>
        <w:sectPr w:rsidR="00821EDC" w:rsidSect="008F135B">
          <w:footnotePr>
            <w:numRestart w:val="eachPage"/>
          </w:footnotePr>
          <w:pgSz w:w="15840" w:h="12240" w:orient="landscape" w:code="1"/>
          <w:pgMar w:top="1440" w:right="1440" w:bottom="1440" w:left="1440" w:header="432" w:footer="619" w:gutter="0"/>
          <w:pgNumType w:chapStyle="1"/>
          <w:cols w:space="708"/>
          <w:titlePg/>
          <w:docGrid w:linePitch="360"/>
        </w:sectPr>
      </w:pPr>
    </w:p>
    <w:p w14:paraId="6CB59F5D" w14:textId="77777777" w:rsidR="00E3772E" w:rsidRPr="00174968" w:rsidRDefault="00821EDC" w:rsidP="006A7162">
      <w:pPr>
        <w:pStyle w:val="ChapterDividers"/>
        <w:sectPr w:rsidR="00E3772E" w:rsidRPr="00174968" w:rsidSect="00CE12B2">
          <w:footerReference w:type="default" r:id="rId81"/>
          <w:footerReference w:type="first" r:id="rId82"/>
          <w:footnotePr>
            <w:numRestart w:val="eachPage"/>
          </w:footnotePr>
          <w:pgSz w:w="12240" w:h="15840" w:code="1"/>
          <w:pgMar w:top="1440" w:right="1440" w:bottom="1440" w:left="1440" w:header="432" w:footer="619" w:gutter="0"/>
          <w:pgNumType w:start="1" w:chapStyle="1"/>
          <w:cols w:space="708"/>
          <w:titlePg/>
          <w:docGrid w:linePitch="360"/>
        </w:sectPr>
      </w:pPr>
      <w:bookmarkStart w:id="307" w:name="_Toc520822962"/>
      <w:bookmarkStart w:id="308" w:name="_Toc520911007"/>
      <w:bookmarkStart w:id="309" w:name="_Toc520911388"/>
      <w:r>
        <w:t>Chapter 7</w:t>
      </w:r>
      <w:r w:rsidR="00620725">
        <w:br/>
      </w:r>
      <w:r w:rsidRPr="00DC5440">
        <w:rPr>
          <w:rStyle w:val="ChapterDividersTitleChar"/>
          <w:color w:val="000000"/>
        </w:rPr>
        <w:t>D.C. Policy Recommendations and D.C. By-law Rules</w:t>
      </w:r>
      <w:bookmarkEnd w:id="307"/>
      <w:bookmarkEnd w:id="308"/>
      <w:bookmarkEnd w:id="309"/>
    </w:p>
    <w:p w14:paraId="0EAFA760" w14:textId="77777777" w:rsidR="005C382D" w:rsidRPr="00174968" w:rsidRDefault="002E2F9B" w:rsidP="00F5670B">
      <w:pPr>
        <w:pStyle w:val="Heading1"/>
        <w:rPr>
          <w:noProof/>
        </w:rPr>
      </w:pPr>
      <w:bookmarkStart w:id="310" w:name="_Toc520822963"/>
      <w:bookmarkStart w:id="311" w:name="_Toc520911008"/>
      <w:bookmarkStart w:id="312" w:name="_Toc520911389"/>
      <w:bookmarkStart w:id="313" w:name="_Toc154068789"/>
      <w:r>
        <w:t>D.C. Policy Recommendations and D.C. By-law Rules</w:t>
      </w:r>
      <w:bookmarkEnd w:id="310"/>
      <w:bookmarkEnd w:id="311"/>
      <w:bookmarkEnd w:id="312"/>
      <w:bookmarkEnd w:id="313"/>
    </w:p>
    <w:p w14:paraId="03B4D9A2" w14:textId="77777777" w:rsidR="002E2F9B" w:rsidRPr="0092537B" w:rsidRDefault="002E2F9B" w:rsidP="00B16524">
      <w:pPr>
        <w:pStyle w:val="Heading2"/>
        <w:numPr>
          <w:ilvl w:val="1"/>
          <w:numId w:val="3"/>
        </w:numPr>
      </w:pPr>
      <w:bookmarkStart w:id="314" w:name="_Toc494293029"/>
      <w:bookmarkStart w:id="315" w:name="_Toc520300768"/>
      <w:bookmarkStart w:id="316" w:name="_Toc520822964"/>
      <w:bookmarkStart w:id="317" w:name="_Toc520911009"/>
      <w:bookmarkStart w:id="318" w:name="_Toc520911390"/>
      <w:bookmarkStart w:id="319" w:name="_Toc154068790"/>
      <w:r>
        <w:t>Introduction</w:t>
      </w:r>
      <w:bookmarkEnd w:id="314"/>
      <w:bookmarkEnd w:id="315"/>
      <w:bookmarkEnd w:id="316"/>
      <w:bookmarkEnd w:id="317"/>
      <w:bookmarkEnd w:id="318"/>
      <w:bookmarkEnd w:id="319"/>
    </w:p>
    <w:p w14:paraId="4C0DC177" w14:textId="77777777" w:rsidR="002E2F9B" w:rsidRPr="00FB0B91" w:rsidRDefault="00680FF6" w:rsidP="002E2F9B">
      <w:pPr>
        <w:pStyle w:val="BodyText125"/>
      </w:pPr>
      <w:r>
        <w:t xml:space="preserve">Subsection </w:t>
      </w:r>
      <w:r w:rsidR="002E2F9B" w:rsidRPr="00FB0B91">
        <w:t>5</w:t>
      </w:r>
      <w:r>
        <w:t xml:space="preserve"> </w:t>
      </w:r>
      <w:r w:rsidR="002E2F9B" w:rsidRPr="00FB0B91">
        <w:t>(1)</w:t>
      </w:r>
      <w:r>
        <w:t xml:space="preserve"> </w:t>
      </w:r>
      <w:r w:rsidR="002E2F9B" w:rsidRPr="00FB0B91">
        <w:t>9 states that rules must be developed:</w:t>
      </w:r>
    </w:p>
    <w:p w14:paraId="46C3D31D" w14:textId="77777777" w:rsidR="002E2F9B" w:rsidRPr="00FB0B91" w:rsidRDefault="002E2F9B" w:rsidP="002E2F9B">
      <w:pPr>
        <w:pStyle w:val="Quote"/>
      </w:pPr>
      <w:r w:rsidRPr="00FB0B91">
        <w:t xml:space="preserve">“to determine if a </w:t>
      </w:r>
      <w:r>
        <w:t>development charge</w:t>
      </w:r>
      <w:r w:rsidRPr="00FB0B91">
        <w:t xml:space="preserve"> is payable in any particular case and to determine the amount of the charge, subject to the limitations set out in subsection </w:t>
      </w:r>
      <w:r w:rsidR="002D2D63">
        <w:t>(</w:t>
      </w:r>
      <w:r w:rsidRPr="00FB0B91">
        <w:t>6</w:t>
      </w:r>
      <w:r w:rsidR="002D2D63">
        <w:t>)</w:t>
      </w:r>
      <w:r w:rsidRPr="00FB0B91">
        <w:t>.”</w:t>
      </w:r>
    </w:p>
    <w:p w14:paraId="6186D40D" w14:textId="77777777" w:rsidR="002E2F9B" w:rsidRPr="00FB0B91" w:rsidRDefault="002E2F9B" w:rsidP="002E2F9B">
      <w:pPr>
        <w:pStyle w:val="BodyText125"/>
      </w:pPr>
      <w:r w:rsidRPr="00FB0B91">
        <w:t xml:space="preserve">Paragraph 10 of the section goes on to state that the rules may provide for exemptions, phasing in and/or indexing of </w:t>
      </w:r>
      <w:r>
        <w:t>D.C.</w:t>
      </w:r>
      <w:r w:rsidRPr="00FB0B91">
        <w:t>s.</w:t>
      </w:r>
    </w:p>
    <w:p w14:paraId="0C81F2BC" w14:textId="77777777" w:rsidR="002E2F9B" w:rsidRPr="00FB0B91" w:rsidRDefault="00680FF6" w:rsidP="002E2F9B">
      <w:pPr>
        <w:pStyle w:val="BodyText125"/>
      </w:pPr>
      <w:r>
        <w:t xml:space="preserve">Subsection </w:t>
      </w:r>
      <w:r w:rsidR="002E2F9B" w:rsidRPr="00FB0B91">
        <w:t>5</w:t>
      </w:r>
      <w:r>
        <w:t xml:space="preserve"> </w:t>
      </w:r>
      <w:r w:rsidR="002E2F9B" w:rsidRPr="00FB0B91">
        <w:t>(6) establishes the following restrictions on the rules:</w:t>
      </w:r>
    </w:p>
    <w:p w14:paraId="7049BB02" w14:textId="2713DC76" w:rsidR="002E2F9B" w:rsidRPr="00FB0B91" w:rsidRDefault="002E2F9B" w:rsidP="002E2F9B">
      <w:pPr>
        <w:pStyle w:val="BodyTextbullets125"/>
      </w:pPr>
      <w:r w:rsidRPr="00FB0B91">
        <w:t xml:space="preserve">the total of all </w:t>
      </w:r>
      <w:r>
        <w:t>D.C.</w:t>
      </w:r>
      <w:r w:rsidRPr="00FB0B91">
        <w:t xml:space="preserve">s that would be imposed on anticipated development must not exceed the capital costs determined under </w:t>
      </w:r>
      <w:r w:rsidR="00627E48">
        <w:t xml:space="preserve">subsection </w:t>
      </w:r>
      <w:r w:rsidRPr="00FB0B91">
        <w:t>5</w:t>
      </w:r>
      <w:r w:rsidR="00627E48">
        <w:t xml:space="preserve"> </w:t>
      </w:r>
      <w:r w:rsidRPr="00FB0B91">
        <w:t>(1) 2</w:t>
      </w:r>
      <w:r w:rsidR="00B0788F">
        <w:t xml:space="preserve"> to 7</w:t>
      </w:r>
      <w:r w:rsidRPr="00FB0B91">
        <w:t xml:space="preserve"> for all services involved;</w:t>
      </w:r>
    </w:p>
    <w:p w14:paraId="57983C14" w14:textId="77777777" w:rsidR="002E2F9B" w:rsidRPr="00FB0B91" w:rsidRDefault="002E2F9B" w:rsidP="002E2F9B">
      <w:pPr>
        <w:pStyle w:val="BodyTextbullets125"/>
      </w:pPr>
      <w:r w:rsidRPr="00FB0B91">
        <w:t xml:space="preserve">if the rules expressly identify a type of development, they must not provide for it to pay </w:t>
      </w:r>
      <w:r>
        <w:t>D.C.</w:t>
      </w:r>
      <w:r w:rsidRPr="00FB0B91">
        <w:t>s that exceed the capital costs that arise from the increase in the need for service for that type of development; however, this requirement does not relate to any particular development; and</w:t>
      </w:r>
    </w:p>
    <w:p w14:paraId="0645AAF4" w14:textId="77777777" w:rsidR="002E2F9B" w:rsidRPr="00FB0B91" w:rsidRDefault="002E2F9B" w:rsidP="002E2F9B">
      <w:pPr>
        <w:pStyle w:val="BodyTextbullets125"/>
      </w:pPr>
      <w:r w:rsidRPr="00FB0B91">
        <w:t xml:space="preserve">if the rules provide for a type of development to have a lower </w:t>
      </w:r>
      <w:r>
        <w:t>D.C.</w:t>
      </w:r>
      <w:r w:rsidRPr="00FB0B91">
        <w:t xml:space="preserve"> than is allowed, the rules for determining </w:t>
      </w:r>
      <w:r>
        <w:t>D.C.</w:t>
      </w:r>
      <w:r w:rsidRPr="00FB0B91">
        <w:t>s may not provide for any resulting shortfall to be made up via other development.</w:t>
      </w:r>
    </w:p>
    <w:p w14:paraId="39BC0465" w14:textId="77777777" w:rsidR="002E2F9B" w:rsidRPr="00FB0B91" w:rsidRDefault="002E2F9B" w:rsidP="002E2F9B">
      <w:pPr>
        <w:pStyle w:val="BodyText125"/>
      </w:pPr>
      <w:r w:rsidRPr="00FB0B91">
        <w:t xml:space="preserve">With respect to “the rules,” </w:t>
      </w:r>
      <w:r w:rsidR="00E16E86">
        <w:t xml:space="preserve">section </w:t>
      </w:r>
      <w:r w:rsidRPr="00FB0B91">
        <w:t>6 states that a D.C. by-law must expressly address the matters referred to above re s</w:t>
      </w:r>
      <w:r w:rsidR="00680FF6">
        <w:t xml:space="preserve">ubsection </w:t>
      </w:r>
      <w:r w:rsidRPr="00FB0B91">
        <w:t>5</w:t>
      </w:r>
      <w:r w:rsidR="00680FF6">
        <w:t xml:space="preserve"> </w:t>
      </w:r>
      <w:r w:rsidRPr="00FB0B91">
        <w:t>(1) para</w:t>
      </w:r>
      <w:r w:rsidR="007D5E68">
        <w:t>graphs</w:t>
      </w:r>
      <w:r w:rsidRPr="00FB0B91">
        <w:t xml:space="preserve"> 9 and 10, as well as how the rules apply to the redevelopment of land.</w:t>
      </w:r>
    </w:p>
    <w:p w14:paraId="7D01618B" w14:textId="5D7B4243" w:rsidR="002E2F9B" w:rsidRPr="00FB0B91" w:rsidRDefault="00B0788F" w:rsidP="002E2F9B">
      <w:pPr>
        <w:pStyle w:val="BodyText125"/>
      </w:pPr>
      <w:r w:rsidRPr="00B0788F">
        <w:t xml:space="preserve">The rules provided are based on the </w:t>
      </w:r>
      <w:r>
        <w:t>City</w:t>
      </w:r>
      <w:r w:rsidRPr="00B0788F">
        <w:t>’s existing policies; with some modifications and consideration for the changes to the D.C.A. resulting from Bills 108, 197, 213</w:t>
      </w:r>
      <w:r>
        <w:t>,</w:t>
      </w:r>
      <w:r w:rsidRPr="00B0788F">
        <w:t xml:space="preserve"> 23</w:t>
      </w:r>
      <w:r>
        <w:t>, and 134</w:t>
      </w:r>
      <w:r w:rsidR="002E2F9B" w:rsidRPr="00FB0B91">
        <w:t>.</w:t>
      </w:r>
    </w:p>
    <w:p w14:paraId="3907FCF2" w14:textId="77777777" w:rsidR="002E2F9B" w:rsidRPr="00FB0B91" w:rsidRDefault="002E2F9B" w:rsidP="00B16524">
      <w:pPr>
        <w:pStyle w:val="Heading2"/>
        <w:numPr>
          <w:ilvl w:val="1"/>
          <w:numId w:val="3"/>
        </w:numPr>
      </w:pPr>
      <w:bookmarkStart w:id="320" w:name="_Toc494293030"/>
      <w:bookmarkStart w:id="321" w:name="_Toc520300769"/>
      <w:bookmarkStart w:id="322" w:name="_Toc520822965"/>
      <w:bookmarkStart w:id="323" w:name="_Toc520911010"/>
      <w:bookmarkStart w:id="324" w:name="_Toc520911391"/>
      <w:bookmarkStart w:id="325" w:name="_Toc154068791"/>
      <w:r>
        <w:t>D.C.</w:t>
      </w:r>
      <w:r w:rsidRPr="00FB0B91">
        <w:t xml:space="preserve"> By-law Structure</w:t>
      </w:r>
      <w:bookmarkEnd w:id="320"/>
      <w:bookmarkEnd w:id="321"/>
      <w:bookmarkEnd w:id="322"/>
      <w:bookmarkEnd w:id="323"/>
      <w:bookmarkEnd w:id="324"/>
      <w:bookmarkEnd w:id="325"/>
    </w:p>
    <w:p w14:paraId="027F95AD" w14:textId="77777777" w:rsidR="002E2F9B" w:rsidRPr="002E2F9B" w:rsidRDefault="002E2F9B" w:rsidP="00F5670B">
      <w:pPr>
        <w:pStyle w:val="BoldHeading"/>
      </w:pPr>
      <w:r w:rsidRPr="002E2F9B">
        <w:t>It is recommended that:</w:t>
      </w:r>
    </w:p>
    <w:p w14:paraId="739DC571" w14:textId="416FD9EF" w:rsidR="002E2F9B" w:rsidRPr="00B0788F" w:rsidRDefault="002E2F9B" w:rsidP="002E2F9B">
      <w:pPr>
        <w:pStyle w:val="BodyTextbullets125"/>
      </w:pPr>
      <w:r w:rsidRPr="00B0788F">
        <w:t xml:space="preserve">the </w:t>
      </w:r>
      <w:r w:rsidR="00A1355F" w:rsidRPr="00B0788F">
        <w:t>City</w:t>
      </w:r>
      <w:r w:rsidRPr="00B0788F">
        <w:t xml:space="preserve"> uses a</w:t>
      </w:r>
      <w:r w:rsidR="00AF3F46">
        <w:t xml:space="preserve">n urban area </w:t>
      </w:r>
      <w:r w:rsidRPr="00B0788F">
        <w:t xml:space="preserve">D.C. calculation for </w:t>
      </w:r>
      <w:r w:rsidR="00AF3F46">
        <w:t>water, wastewater, and stormwater services</w:t>
      </w:r>
      <w:r w:rsidRPr="00B0788F">
        <w:t>;</w:t>
      </w:r>
    </w:p>
    <w:p w14:paraId="06AC77B8" w14:textId="690774AC" w:rsidR="002E2F9B" w:rsidRPr="00B0788F" w:rsidRDefault="00AF3F46" w:rsidP="002E2F9B">
      <w:pPr>
        <w:pStyle w:val="BodyTextbullets125"/>
      </w:pPr>
      <w:r>
        <w:t xml:space="preserve">the City uses a City-wide </w:t>
      </w:r>
      <w:r w:rsidR="00B0788F">
        <w:t>D.C.</w:t>
      </w:r>
      <w:r>
        <w:t xml:space="preserve"> calculation for all other services</w:t>
      </w:r>
      <w:r w:rsidR="002E2F9B" w:rsidRPr="00B0788F">
        <w:t>; and</w:t>
      </w:r>
    </w:p>
    <w:p w14:paraId="21797509" w14:textId="2A81A14D" w:rsidR="002E2F9B" w:rsidRPr="00B0788F" w:rsidRDefault="003735BE" w:rsidP="002E2F9B">
      <w:pPr>
        <w:pStyle w:val="BodyTextbullets125"/>
      </w:pPr>
      <w:r w:rsidRPr="003735BE">
        <w:t>separate D.C. by-laws be used for each service.</w:t>
      </w:r>
    </w:p>
    <w:p w14:paraId="4B8B8DAC" w14:textId="77777777" w:rsidR="002E2F9B" w:rsidRPr="00FB0B91" w:rsidRDefault="002E2F9B" w:rsidP="00B16524">
      <w:pPr>
        <w:pStyle w:val="Heading2"/>
        <w:numPr>
          <w:ilvl w:val="1"/>
          <w:numId w:val="3"/>
        </w:numPr>
      </w:pPr>
      <w:bookmarkStart w:id="326" w:name="_Toc494293031"/>
      <w:bookmarkStart w:id="327" w:name="_Toc520300770"/>
      <w:bookmarkStart w:id="328" w:name="_Toc520822966"/>
      <w:bookmarkStart w:id="329" w:name="_Toc520911011"/>
      <w:bookmarkStart w:id="330" w:name="_Toc520911392"/>
      <w:bookmarkStart w:id="331" w:name="_Toc154068792"/>
      <w:r>
        <w:t>D.C.</w:t>
      </w:r>
      <w:r w:rsidRPr="00FB0B91">
        <w:t xml:space="preserve"> By-law Rules</w:t>
      </w:r>
      <w:bookmarkEnd w:id="326"/>
      <w:bookmarkEnd w:id="327"/>
      <w:bookmarkEnd w:id="328"/>
      <w:bookmarkEnd w:id="329"/>
      <w:bookmarkEnd w:id="330"/>
      <w:bookmarkEnd w:id="331"/>
    </w:p>
    <w:p w14:paraId="43C6CA30" w14:textId="77777777" w:rsidR="002E2F9B" w:rsidRPr="00FB0B91" w:rsidRDefault="002E2F9B" w:rsidP="002E2F9B">
      <w:pPr>
        <w:pStyle w:val="BodyText125"/>
      </w:pPr>
      <w:r w:rsidRPr="00FB0B91">
        <w:t xml:space="preserve">The following subsections set out the recommended rules governing the calculation, payment and collection of </w:t>
      </w:r>
      <w:r>
        <w:t>D.C.</w:t>
      </w:r>
      <w:r w:rsidRPr="00FB0B91">
        <w:t xml:space="preserve">s in accordance with </w:t>
      </w:r>
      <w:r w:rsidR="00E16E86">
        <w:t xml:space="preserve">section </w:t>
      </w:r>
      <w:r w:rsidRPr="00FB0B91">
        <w:t xml:space="preserve">6 of the </w:t>
      </w:r>
      <w:r>
        <w:rPr>
          <w:iCs/>
        </w:rPr>
        <w:t>D.C.A.</w:t>
      </w:r>
      <w:r w:rsidRPr="00FB0B91">
        <w:t xml:space="preserve">  </w:t>
      </w:r>
    </w:p>
    <w:p w14:paraId="3C4770F3" w14:textId="77777777" w:rsidR="002E2F9B" w:rsidRPr="002E2F9B" w:rsidRDefault="002E2F9B" w:rsidP="00F5670B">
      <w:pPr>
        <w:pStyle w:val="BoldHeading"/>
      </w:pPr>
      <w:r w:rsidRPr="002E2F9B">
        <w:t>It is recommended that the following sections provide the basis for the D.C.s</w:t>
      </w:r>
      <w:r w:rsidR="00883A5C">
        <w:t>.:</w:t>
      </w:r>
    </w:p>
    <w:p w14:paraId="1BC4E821" w14:textId="77777777" w:rsidR="002E2F9B" w:rsidRPr="00FB0B91" w:rsidRDefault="002E2F9B" w:rsidP="00B16524">
      <w:pPr>
        <w:pStyle w:val="Heading3"/>
        <w:numPr>
          <w:ilvl w:val="2"/>
          <w:numId w:val="3"/>
        </w:numPr>
      </w:pPr>
      <w:bookmarkStart w:id="332" w:name="_Toc494293032"/>
      <w:bookmarkStart w:id="333" w:name="_Toc520300771"/>
      <w:bookmarkStart w:id="334" w:name="_Toc520822967"/>
      <w:bookmarkStart w:id="335" w:name="_Toc520911012"/>
      <w:bookmarkStart w:id="336" w:name="_Toc520911393"/>
      <w:bookmarkStart w:id="337" w:name="_Toc154068793"/>
      <w:r w:rsidRPr="00FB0B91">
        <w:t>Payment in any Particular Case</w:t>
      </w:r>
      <w:bookmarkEnd w:id="332"/>
      <w:bookmarkEnd w:id="333"/>
      <w:bookmarkEnd w:id="334"/>
      <w:bookmarkEnd w:id="335"/>
      <w:bookmarkEnd w:id="336"/>
      <w:bookmarkEnd w:id="337"/>
    </w:p>
    <w:p w14:paraId="6C0A0943" w14:textId="77777777" w:rsidR="002E2F9B" w:rsidRPr="00825E04" w:rsidRDefault="002E2F9B" w:rsidP="002E2F9B">
      <w:pPr>
        <w:pStyle w:val="BodyText125"/>
      </w:pPr>
      <w:r w:rsidRPr="00FB0B91">
        <w:t xml:space="preserve">In accordance with the </w:t>
      </w:r>
      <w:r>
        <w:rPr>
          <w:iCs/>
        </w:rPr>
        <w:t>D.C.A.</w:t>
      </w:r>
      <w:r w:rsidRPr="00FB0B91">
        <w:t xml:space="preserve">, </w:t>
      </w:r>
      <w:r w:rsidR="00E16E86">
        <w:t xml:space="preserve">subsection </w:t>
      </w:r>
      <w:r w:rsidRPr="00FB0B91">
        <w:t>2</w:t>
      </w:r>
      <w:r w:rsidR="00825E04">
        <w:t xml:space="preserve"> </w:t>
      </w:r>
      <w:r w:rsidRPr="00FB0B91">
        <w:t xml:space="preserve">(2), a </w:t>
      </w:r>
      <w:r>
        <w:t>D.C.</w:t>
      </w:r>
      <w:r w:rsidRPr="00FB0B91">
        <w:t xml:space="preserve"> be calculated, payable</w:t>
      </w:r>
      <w:r w:rsidR="002D2D63">
        <w:t>,</w:t>
      </w:r>
      <w:r w:rsidRPr="00FB0B91">
        <w:t xml:space="preserve"> and collected where the </w:t>
      </w:r>
      <w:r w:rsidRPr="00825E04">
        <w:t>development requires one or more of the following:</w:t>
      </w:r>
    </w:p>
    <w:p w14:paraId="58122FEC" w14:textId="77777777" w:rsidR="00825E04" w:rsidRPr="00825E04" w:rsidRDefault="00825E04" w:rsidP="00825E04">
      <w:pPr>
        <w:pStyle w:val="Quote"/>
        <w:ind w:left="1260" w:hanging="540"/>
      </w:pPr>
      <w:r w:rsidRPr="00825E04">
        <w:t xml:space="preserve">“(a) </w:t>
      </w:r>
      <w:r w:rsidRPr="00825E04">
        <w:tab/>
        <w:t xml:space="preserve">the passing of a zoning by-law or of an amendment to a zoning by-law under section 34 of the </w:t>
      </w:r>
      <w:r w:rsidRPr="00B90C92">
        <w:rPr>
          <w:i/>
          <w:iCs w:val="0"/>
        </w:rPr>
        <w:t>Planning Act</w:t>
      </w:r>
      <w:r w:rsidRPr="00825E04">
        <w:t>;</w:t>
      </w:r>
    </w:p>
    <w:p w14:paraId="4CC54FD1" w14:textId="77777777" w:rsidR="00825E04" w:rsidRPr="00825E04" w:rsidRDefault="00825E04" w:rsidP="00825E04">
      <w:pPr>
        <w:pStyle w:val="Quote"/>
        <w:ind w:left="1260" w:hanging="540"/>
      </w:pPr>
      <w:r w:rsidRPr="00825E04">
        <w:t xml:space="preserve">(b) </w:t>
      </w:r>
      <w:r w:rsidRPr="00825E04">
        <w:tab/>
        <w:t xml:space="preserve">the approval of a minor variance under section 45 of the </w:t>
      </w:r>
      <w:r w:rsidRPr="00B90C92">
        <w:rPr>
          <w:i/>
          <w:iCs w:val="0"/>
        </w:rPr>
        <w:t>Planning Act</w:t>
      </w:r>
      <w:r w:rsidRPr="00825E04">
        <w:t>;</w:t>
      </w:r>
    </w:p>
    <w:p w14:paraId="4893F205" w14:textId="77777777" w:rsidR="00825E04" w:rsidRPr="00825E04" w:rsidRDefault="00825E04" w:rsidP="00825E04">
      <w:pPr>
        <w:pStyle w:val="Quote"/>
        <w:ind w:left="1260" w:hanging="540"/>
      </w:pPr>
      <w:r w:rsidRPr="00825E04">
        <w:t xml:space="preserve">(c) </w:t>
      </w:r>
      <w:r w:rsidRPr="00825E04">
        <w:tab/>
        <w:t xml:space="preserve">a conveyance of land to which a by-law passed under subsection 50 (7) of the </w:t>
      </w:r>
      <w:r w:rsidRPr="00B90C92">
        <w:rPr>
          <w:i/>
          <w:iCs w:val="0"/>
        </w:rPr>
        <w:t>Planning Act</w:t>
      </w:r>
      <w:r w:rsidRPr="00825E04">
        <w:t xml:space="preserve"> applies; </w:t>
      </w:r>
    </w:p>
    <w:p w14:paraId="6EB895A3" w14:textId="77777777" w:rsidR="00825E04" w:rsidRPr="00825E04" w:rsidRDefault="00825E04" w:rsidP="00825E04">
      <w:pPr>
        <w:pStyle w:val="Quote"/>
        <w:ind w:left="1260" w:hanging="540"/>
      </w:pPr>
      <w:r w:rsidRPr="00825E04">
        <w:t xml:space="preserve">(d) </w:t>
      </w:r>
      <w:r w:rsidRPr="00825E04">
        <w:tab/>
        <w:t xml:space="preserve">the approval of a plan of subdivision under section 51 of the </w:t>
      </w:r>
      <w:r w:rsidRPr="00B90C92">
        <w:rPr>
          <w:i/>
          <w:iCs w:val="0"/>
        </w:rPr>
        <w:t>Planning Act</w:t>
      </w:r>
      <w:r w:rsidRPr="00825E04">
        <w:t>;</w:t>
      </w:r>
    </w:p>
    <w:p w14:paraId="3A5176AA" w14:textId="77777777" w:rsidR="00825E04" w:rsidRPr="00825E04" w:rsidRDefault="00825E04" w:rsidP="00825E04">
      <w:pPr>
        <w:pStyle w:val="Quote"/>
        <w:ind w:left="1260" w:hanging="540"/>
      </w:pPr>
      <w:r w:rsidRPr="00825E04">
        <w:t xml:space="preserve">(e) </w:t>
      </w:r>
      <w:r w:rsidRPr="00825E04">
        <w:tab/>
        <w:t xml:space="preserve">a consent under section 53 of the </w:t>
      </w:r>
      <w:r w:rsidRPr="00B90C92">
        <w:rPr>
          <w:i/>
          <w:iCs w:val="0"/>
        </w:rPr>
        <w:t>Planning Act</w:t>
      </w:r>
      <w:r w:rsidRPr="00825E04">
        <w:t>;</w:t>
      </w:r>
    </w:p>
    <w:p w14:paraId="624239B0" w14:textId="77777777" w:rsidR="00825E04" w:rsidRPr="00825E04" w:rsidRDefault="00825E04" w:rsidP="00825E04">
      <w:pPr>
        <w:pStyle w:val="Quote"/>
        <w:ind w:left="1260" w:hanging="540"/>
      </w:pPr>
      <w:r w:rsidRPr="00825E04">
        <w:t xml:space="preserve">(f) </w:t>
      </w:r>
      <w:r w:rsidRPr="00825E04">
        <w:tab/>
        <w:t xml:space="preserve">the approval of a description under section 9 of the </w:t>
      </w:r>
      <w:r w:rsidRPr="00B90C92">
        <w:rPr>
          <w:i/>
          <w:iCs w:val="0"/>
        </w:rPr>
        <w:t>Condominium Act, 1998</w:t>
      </w:r>
      <w:r w:rsidRPr="00825E04">
        <w:t>; or</w:t>
      </w:r>
    </w:p>
    <w:p w14:paraId="21ABFE4A" w14:textId="77777777" w:rsidR="00825E04" w:rsidRPr="00825E04" w:rsidRDefault="00825E04" w:rsidP="00825E04">
      <w:pPr>
        <w:pStyle w:val="Quote"/>
        <w:ind w:left="1260" w:hanging="540"/>
      </w:pPr>
      <w:r w:rsidRPr="00825E04">
        <w:t xml:space="preserve">(g) </w:t>
      </w:r>
      <w:r w:rsidRPr="00825E04">
        <w:tab/>
        <w:t xml:space="preserve">the issuing of a permit under the </w:t>
      </w:r>
      <w:r w:rsidRPr="00B90C92">
        <w:rPr>
          <w:i/>
          <w:iCs w:val="0"/>
        </w:rPr>
        <w:t>Building Code Act, 1992</w:t>
      </w:r>
      <w:r w:rsidRPr="00825E04">
        <w:t xml:space="preserve"> in relation to a building or structure.”</w:t>
      </w:r>
    </w:p>
    <w:p w14:paraId="6984917C" w14:textId="77777777" w:rsidR="002E2F9B" w:rsidRPr="00FB0B91" w:rsidRDefault="002E2F9B" w:rsidP="00B16524">
      <w:pPr>
        <w:pStyle w:val="Heading3"/>
        <w:numPr>
          <w:ilvl w:val="2"/>
          <w:numId w:val="3"/>
        </w:numPr>
      </w:pPr>
      <w:bookmarkStart w:id="338" w:name="_Toc494293033"/>
      <w:bookmarkStart w:id="339" w:name="_Toc520300772"/>
      <w:bookmarkStart w:id="340" w:name="_Toc520822968"/>
      <w:bookmarkStart w:id="341" w:name="_Toc520911013"/>
      <w:bookmarkStart w:id="342" w:name="_Toc520911394"/>
      <w:bookmarkStart w:id="343" w:name="_Toc154068794"/>
      <w:r w:rsidRPr="00FB0B91">
        <w:t>Determination of the Amount of the Charge</w:t>
      </w:r>
      <w:bookmarkEnd w:id="338"/>
      <w:bookmarkEnd w:id="339"/>
      <w:bookmarkEnd w:id="340"/>
      <w:bookmarkEnd w:id="341"/>
      <w:bookmarkEnd w:id="342"/>
      <w:bookmarkEnd w:id="343"/>
    </w:p>
    <w:p w14:paraId="1DCE3776" w14:textId="77777777" w:rsidR="002E2F9B" w:rsidRPr="00FB0B91" w:rsidRDefault="002E2F9B" w:rsidP="002E2F9B">
      <w:pPr>
        <w:pStyle w:val="BodyText125"/>
      </w:pPr>
      <w:r w:rsidRPr="00FB0B91">
        <w:t>The following conventions be adopted:</w:t>
      </w:r>
    </w:p>
    <w:p w14:paraId="0B32758C" w14:textId="77777777" w:rsidR="002E2F9B" w:rsidRPr="00FB0B91" w:rsidRDefault="002E2F9B" w:rsidP="00F43901">
      <w:pPr>
        <w:pStyle w:val="BodyText125"/>
        <w:numPr>
          <w:ilvl w:val="0"/>
          <w:numId w:val="16"/>
        </w:numPr>
      </w:pPr>
      <w:r w:rsidRPr="00FB0B91">
        <w:t xml:space="preserve">Costs allocated to residential uses will be assigned to different types of residential units based on the average occupancy for each housing type constructed during the previous decade.  Costs allocated to non-residential uses will be assigned based on the amount of square feet of </w:t>
      </w:r>
      <w:r w:rsidR="00694A7B">
        <w:t>G.F.A.</w:t>
      </w:r>
      <w:r w:rsidRPr="00FB0B91">
        <w:t xml:space="preserve"> constructed for eligible uses (i.e. industrial, commercial</w:t>
      </w:r>
      <w:r w:rsidR="00B90C92">
        <w:t>,</w:t>
      </w:r>
      <w:r w:rsidRPr="00FB0B91">
        <w:t xml:space="preserve"> and institutional).</w:t>
      </w:r>
    </w:p>
    <w:p w14:paraId="29D440DF" w14:textId="77777777" w:rsidR="002E2F9B" w:rsidRPr="00FB0B91" w:rsidRDefault="002E2F9B" w:rsidP="00F43901">
      <w:pPr>
        <w:pStyle w:val="BodyText125"/>
        <w:numPr>
          <w:ilvl w:val="0"/>
          <w:numId w:val="16"/>
        </w:numPr>
      </w:pPr>
      <w:r w:rsidRPr="00FB0B91">
        <w:t>Costs allocated to residential and non-residential uses are based upon a number of conventions, as may be suited to each municipal circumstance, e.g.</w:t>
      </w:r>
    </w:p>
    <w:p w14:paraId="1FE6FFD1" w14:textId="3941AD11" w:rsidR="002E2F9B" w:rsidRPr="00043B5E" w:rsidRDefault="002E2F9B" w:rsidP="002E2F9B">
      <w:pPr>
        <w:pStyle w:val="BodyTextbullets125"/>
        <w:ind w:left="1440"/>
      </w:pPr>
      <w:r w:rsidRPr="00043B5E">
        <w:t xml:space="preserve">for </w:t>
      </w:r>
      <w:r w:rsidR="00043B5E" w:rsidRPr="00043B5E">
        <w:t>parks and</w:t>
      </w:r>
      <w:r w:rsidRPr="00043B5E">
        <w:t xml:space="preserve"> </w:t>
      </w:r>
      <w:r w:rsidR="00883A5C" w:rsidRPr="00043B5E">
        <w:t>r</w:t>
      </w:r>
      <w:r w:rsidRPr="00043B5E">
        <w:t xml:space="preserve">ecreation and </w:t>
      </w:r>
      <w:r w:rsidR="00883A5C" w:rsidRPr="00043B5E">
        <w:t>l</w:t>
      </w:r>
      <w:r w:rsidRPr="00043B5E">
        <w:t>ibrary services, a 5% non-residential attribution has been made to recognize use by the non-residential sector;</w:t>
      </w:r>
    </w:p>
    <w:p w14:paraId="3626B215" w14:textId="47A25209" w:rsidR="00AF3F46" w:rsidRDefault="002E2F9B" w:rsidP="002E2F9B">
      <w:pPr>
        <w:pStyle w:val="BodyTextbullets125"/>
        <w:ind w:left="1440"/>
      </w:pPr>
      <w:r w:rsidRPr="00043B5E">
        <w:t xml:space="preserve">for </w:t>
      </w:r>
      <w:r w:rsidR="00043B5E" w:rsidRPr="00043B5E">
        <w:t>services related to a highway,</w:t>
      </w:r>
      <w:r w:rsidRPr="00043B5E">
        <w:t xml:space="preserve"> </w:t>
      </w:r>
      <w:r w:rsidR="00883A5C" w:rsidRPr="00043B5E">
        <w:t>p</w:t>
      </w:r>
      <w:r w:rsidRPr="00043B5E">
        <w:t xml:space="preserve">ublic </w:t>
      </w:r>
      <w:r w:rsidR="00883A5C" w:rsidRPr="00043B5E">
        <w:t>w</w:t>
      </w:r>
      <w:r w:rsidRPr="00043B5E">
        <w:t>orks,</w:t>
      </w:r>
      <w:r w:rsidR="00043B5E" w:rsidRPr="00043B5E">
        <w:t xml:space="preserve"> </w:t>
      </w:r>
      <w:r w:rsidR="00AF3F46">
        <w:t xml:space="preserve">and </w:t>
      </w:r>
      <w:r w:rsidR="00043B5E" w:rsidRPr="00043B5E">
        <w:t>fire protection</w:t>
      </w:r>
      <w:r w:rsidR="00AF3F46">
        <w:t xml:space="preserve"> services</w:t>
      </w:r>
      <w:r w:rsidR="006C441C">
        <w:t xml:space="preserve">, </w:t>
      </w:r>
      <w:r w:rsidR="00043B5E" w:rsidRPr="00043B5E">
        <w:t>a 69% residential/31% non-residential attribution has been made based on a population vs. employment growth ratio over the 2023 to 2032 forecast period</w:t>
      </w:r>
      <w:r w:rsidR="00EC4A15">
        <w:t>;</w:t>
      </w:r>
    </w:p>
    <w:p w14:paraId="789B78AD" w14:textId="7C5BC573" w:rsidR="00043B5E" w:rsidRPr="00043B5E" w:rsidRDefault="00AF3F46" w:rsidP="002E2F9B">
      <w:pPr>
        <w:pStyle w:val="BodyTextbullets125"/>
        <w:ind w:left="1440"/>
      </w:pPr>
      <w:r w:rsidRPr="00043B5E">
        <w:t xml:space="preserve">for </w:t>
      </w:r>
      <w:r>
        <w:t>water and wastewater services</w:t>
      </w:r>
      <w:r w:rsidRPr="00043B5E">
        <w:t>, a 6</w:t>
      </w:r>
      <w:r>
        <w:t>8</w:t>
      </w:r>
      <w:r w:rsidRPr="00043B5E">
        <w:t>% residential/3</w:t>
      </w:r>
      <w:r>
        <w:t>2</w:t>
      </w:r>
      <w:r w:rsidRPr="00043B5E">
        <w:t xml:space="preserve">% non-residential attribution has been made based on a population vs. employment growth ratio over the </w:t>
      </w:r>
      <w:r>
        <w:t xml:space="preserve">urban area </w:t>
      </w:r>
      <w:r w:rsidRPr="00043B5E">
        <w:t>2023 to 2032 forecast period</w:t>
      </w:r>
      <w:r>
        <w:t>;</w:t>
      </w:r>
      <w:r w:rsidR="00EC4A15">
        <w:t xml:space="preserve"> and</w:t>
      </w:r>
    </w:p>
    <w:p w14:paraId="197C17CE" w14:textId="2B262359" w:rsidR="002E2F9B" w:rsidRPr="00043B5E" w:rsidRDefault="002E2F9B" w:rsidP="002E2F9B">
      <w:pPr>
        <w:pStyle w:val="BodyTextbullets125"/>
        <w:ind w:left="1440"/>
      </w:pPr>
      <w:r w:rsidRPr="00043B5E">
        <w:t xml:space="preserve">for </w:t>
      </w:r>
      <w:r w:rsidR="00043B5E" w:rsidRPr="00043B5E">
        <w:t>stormwater</w:t>
      </w:r>
      <w:r w:rsidRPr="00043B5E">
        <w:t xml:space="preserve"> services a </w:t>
      </w:r>
      <w:r w:rsidR="006C441C">
        <w:t>50</w:t>
      </w:r>
      <w:r w:rsidRPr="00043B5E">
        <w:t>% residential/</w:t>
      </w:r>
      <w:r w:rsidR="006C441C">
        <w:t>50</w:t>
      </w:r>
      <w:r w:rsidRPr="00043B5E">
        <w:t xml:space="preserve">% non-residential allocation has been made based on </w:t>
      </w:r>
      <w:r w:rsidR="006C441C">
        <w:t xml:space="preserve">the ratio of land area anticipated for development </w:t>
      </w:r>
      <w:r w:rsidRPr="00043B5E">
        <w:t xml:space="preserve">over the </w:t>
      </w:r>
      <w:r w:rsidR="006C441C">
        <w:t xml:space="preserve">10-year </w:t>
      </w:r>
      <w:r w:rsidRPr="00043B5E">
        <w:t>forecast period.</w:t>
      </w:r>
    </w:p>
    <w:p w14:paraId="48AA0BA8" w14:textId="77777777" w:rsidR="002E2F9B" w:rsidRPr="00FB0B91" w:rsidRDefault="002E2F9B" w:rsidP="00B16524">
      <w:pPr>
        <w:pStyle w:val="Heading3"/>
        <w:numPr>
          <w:ilvl w:val="2"/>
          <w:numId w:val="3"/>
        </w:numPr>
      </w:pPr>
      <w:bookmarkStart w:id="344" w:name="_Toc494293034"/>
      <w:bookmarkStart w:id="345" w:name="_Toc520300773"/>
      <w:bookmarkStart w:id="346" w:name="_Toc520822969"/>
      <w:bookmarkStart w:id="347" w:name="_Toc520911014"/>
      <w:bookmarkStart w:id="348" w:name="_Toc520911395"/>
      <w:bookmarkStart w:id="349" w:name="_Toc154068795"/>
      <w:r w:rsidRPr="00FB0B91">
        <w:t>Application to Redevelopment of Land (Demolition and Conversion)</w:t>
      </w:r>
      <w:bookmarkEnd w:id="344"/>
      <w:bookmarkEnd w:id="345"/>
      <w:bookmarkEnd w:id="346"/>
      <w:bookmarkEnd w:id="347"/>
      <w:bookmarkEnd w:id="348"/>
      <w:bookmarkEnd w:id="349"/>
    </w:p>
    <w:p w14:paraId="22195960" w14:textId="77777777" w:rsidR="000F671D" w:rsidRDefault="000F671D" w:rsidP="000F671D">
      <w:pPr>
        <w:pStyle w:val="BodyText125"/>
      </w:pPr>
      <w:r>
        <w:t>Where a D.C. is payable for a development which replaces a pre-existing development including a change of use in an existing building, a redevelopment allowance shall be credited against the D.C. otherwise payable.</w:t>
      </w:r>
    </w:p>
    <w:p w14:paraId="41867C0F" w14:textId="77777777" w:rsidR="000F671D" w:rsidRDefault="000F671D" w:rsidP="000F671D">
      <w:pPr>
        <w:pStyle w:val="BodyText125"/>
      </w:pPr>
      <w:r>
        <w:t>In order to be eligible for a re-development allowance:</w:t>
      </w:r>
    </w:p>
    <w:p w14:paraId="5F523087" w14:textId="7726D2F3" w:rsidR="000F671D" w:rsidRPr="006A6432" w:rsidRDefault="000F671D" w:rsidP="00F43901">
      <w:pPr>
        <w:pStyle w:val="BodyText125"/>
        <w:numPr>
          <w:ilvl w:val="0"/>
          <w:numId w:val="8"/>
        </w:numPr>
      </w:pPr>
      <w:r>
        <w:t xml:space="preserve">The pre-existing development </w:t>
      </w:r>
      <w:r w:rsidR="006F667B">
        <w:t xml:space="preserve">must </w:t>
      </w:r>
      <w:r>
        <w:t>be one in respect to which a valid demolition permit or demolition control permit was issued by the City within the five (5) years, related to a residential use or ten (10) years, for a non-residential use, preceding the due date of payment of the D.C. and such demolition permit, demolition control permit or a certified copy thereof; and</w:t>
      </w:r>
    </w:p>
    <w:p w14:paraId="6F1C8627" w14:textId="306AD871" w:rsidR="000F671D" w:rsidRDefault="000F671D" w:rsidP="00F43901">
      <w:pPr>
        <w:pStyle w:val="BodyText125"/>
        <w:numPr>
          <w:ilvl w:val="0"/>
          <w:numId w:val="8"/>
        </w:numPr>
      </w:pPr>
      <w:r>
        <w:t>Proof must be provided to the Chief Building Official’s satisfaction that the development meets the requirements set out in the by-law</w:t>
      </w:r>
      <w:r w:rsidR="00856ED0">
        <w:t>s</w:t>
      </w:r>
      <w:r>
        <w:t>.</w:t>
      </w:r>
    </w:p>
    <w:p w14:paraId="34538193" w14:textId="77777777" w:rsidR="000F671D" w:rsidRDefault="000F671D" w:rsidP="00F43901">
      <w:pPr>
        <w:pStyle w:val="BodyText125"/>
        <w:numPr>
          <w:ilvl w:val="0"/>
          <w:numId w:val="8"/>
        </w:numPr>
      </w:pPr>
      <w:r>
        <w:t>In situations where buildings are destroyed by fire or other unplanned events, sections items a) and b) apply upon proof satisfactory to the City’s Chief Building Official if there was not an issued demolition permit.</w:t>
      </w:r>
    </w:p>
    <w:p w14:paraId="029EC48A" w14:textId="77777777" w:rsidR="000F671D" w:rsidRDefault="000F671D" w:rsidP="000F671D">
      <w:pPr>
        <w:pStyle w:val="BodyText125"/>
      </w:pPr>
      <w:r>
        <w:t>If the land is engaged in a brownfield redevelopment, a redevelopment period longer than the time set out in item a) above may be provided based upon the approval by the City’s Deputy City Manager of Community Development or designate in consultation with the Chief Building Official, and applicable Regional Commissioner after consideration of specific development circumstances.</w:t>
      </w:r>
    </w:p>
    <w:p w14:paraId="1FE69756" w14:textId="77777777" w:rsidR="000F671D" w:rsidRDefault="000F671D" w:rsidP="000F671D">
      <w:pPr>
        <w:pStyle w:val="BodyText125"/>
      </w:pPr>
      <w:r>
        <w:t>In determining eligibility for a re-development allowance:</w:t>
      </w:r>
    </w:p>
    <w:p w14:paraId="6C48705F" w14:textId="77777777" w:rsidR="000F671D" w:rsidRDefault="000F671D" w:rsidP="00F43901">
      <w:pPr>
        <w:pStyle w:val="BodyText125"/>
        <w:numPr>
          <w:ilvl w:val="0"/>
          <w:numId w:val="25"/>
        </w:numPr>
      </w:pPr>
      <w:r>
        <w:t>Demolition shall be deemed to have occurred on the date of the issuance of the demolition permit or demolition control permit;</w:t>
      </w:r>
    </w:p>
    <w:p w14:paraId="320BCAD9" w14:textId="77777777" w:rsidR="000F671D" w:rsidRDefault="000F671D" w:rsidP="00F43901">
      <w:pPr>
        <w:pStyle w:val="BodyText125"/>
        <w:numPr>
          <w:ilvl w:val="0"/>
          <w:numId w:val="25"/>
        </w:numPr>
      </w:pPr>
      <w:r>
        <w:t>“demolition permit” or “demolition control permit” shall mean the first of any demolition permits or demolition control permits issued for the pre-existing development, if the demolition has taken place in more that one phase.  Subsequent demolition permits or demolition control permits for that pre-existing development are not to be used in a calculation of the periods set out above; and</w:t>
      </w:r>
    </w:p>
    <w:p w14:paraId="0971B4B0" w14:textId="77777777" w:rsidR="000F671D" w:rsidRDefault="000F671D" w:rsidP="00F43901">
      <w:pPr>
        <w:pStyle w:val="BodyText125"/>
        <w:numPr>
          <w:ilvl w:val="0"/>
          <w:numId w:val="25"/>
        </w:numPr>
      </w:pPr>
      <w:r>
        <w:t>The date calculated above shall apply regardless of whether the first demolition permit or demolition control permit was revoked or canceled.</w:t>
      </w:r>
    </w:p>
    <w:p w14:paraId="6A2D6CD9" w14:textId="77777777" w:rsidR="000F671D" w:rsidRDefault="000F671D" w:rsidP="000F671D">
      <w:pPr>
        <w:pStyle w:val="BodyText125"/>
        <w:rPr>
          <w:b/>
          <w:bCs/>
          <w:u w:val="single"/>
        </w:rPr>
      </w:pPr>
      <w:r w:rsidRPr="00A65E55">
        <w:rPr>
          <w:b/>
          <w:bCs/>
          <w:u w:val="single"/>
        </w:rPr>
        <w:t>Calculation of Re-development Allowance</w:t>
      </w:r>
    </w:p>
    <w:p w14:paraId="6BB5A16A" w14:textId="77777777" w:rsidR="000F671D" w:rsidRDefault="000F671D" w:rsidP="000F671D">
      <w:pPr>
        <w:pStyle w:val="BodyText125"/>
      </w:pPr>
      <w:r>
        <w:t>In determining the amount of any re-development allowance to be applied in calculating a D.C. payable, the following shall apply:</w:t>
      </w:r>
    </w:p>
    <w:p w14:paraId="31FE3E85" w14:textId="0DFE385A" w:rsidR="000F671D" w:rsidRDefault="000F671D" w:rsidP="00F43901">
      <w:pPr>
        <w:pStyle w:val="BodyText125"/>
        <w:numPr>
          <w:ilvl w:val="0"/>
          <w:numId w:val="26"/>
        </w:numPr>
      </w:pPr>
      <w:r>
        <w:t>The re-development allowance quantified in accordance with the by-law</w:t>
      </w:r>
      <w:r w:rsidR="00856ED0">
        <w:t>s</w:t>
      </w:r>
      <w:r>
        <w:t xml:space="preserve"> shall apply to the whole parcel of land on which the pre-existing development exists or existed;</w:t>
      </w:r>
    </w:p>
    <w:p w14:paraId="01B13416" w14:textId="77777777" w:rsidR="000F671D" w:rsidRDefault="000F671D" w:rsidP="00F43901">
      <w:pPr>
        <w:pStyle w:val="BodyText125"/>
        <w:numPr>
          <w:ilvl w:val="0"/>
          <w:numId w:val="26"/>
        </w:numPr>
      </w:pPr>
      <w:r>
        <w:t>Any remaining re-development allowance applicable to a parcel of land from time to time, in the event of a division of the parcel of land into two or more parcels, shall be apportioned equally between or amongst the resultant parcels of land on a per unit area basis;</w:t>
      </w:r>
    </w:p>
    <w:p w14:paraId="0627D336" w14:textId="77777777" w:rsidR="000F671D" w:rsidRDefault="000F671D" w:rsidP="00F43901">
      <w:pPr>
        <w:pStyle w:val="BodyText125"/>
        <w:numPr>
          <w:ilvl w:val="0"/>
          <w:numId w:val="26"/>
        </w:numPr>
      </w:pPr>
      <w:r>
        <w:t>The amount of the re-development allowance applicable to a parcel of land on which the pre-existing development existed or to any part of thereof after any land division shall be reduced for each subsequent development in respect of which the D.C. otherwise payable is or has been reduced by a re-development allowance, as building permits for such subsequent developments are issued or D.C. Paid, whichever first occurs.</w:t>
      </w:r>
    </w:p>
    <w:p w14:paraId="40DE8055" w14:textId="77777777" w:rsidR="000F671D" w:rsidRDefault="000F671D" w:rsidP="000F671D">
      <w:pPr>
        <w:pStyle w:val="BodyText125"/>
        <w:rPr>
          <w:b/>
          <w:bCs/>
          <w:u w:val="single"/>
        </w:rPr>
      </w:pPr>
      <w:r>
        <w:rPr>
          <w:b/>
          <w:bCs/>
          <w:u w:val="single"/>
        </w:rPr>
        <w:t>Amount of Re-development Allowance</w:t>
      </w:r>
    </w:p>
    <w:p w14:paraId="32EE12D0" w14:textId="77777777" w:rsidR="000F671D" w:rsidRDefault="000F671D" w:rsidP="00F43901">
      <w:pPr>
        <w:pStyle w:val="BodyText125"/>
        <w:numPr>
          <w:ilvl w:val="0"/>
          <w:numId w:val="27"/>
        </w:numPr>
      </w:pPr>
      <w:r>
        <w:t>The amount of the re-development allowance shall be computed based upon the previous land use equal to:</w:t>
      </w:r>
    </w:p>
    <w:p w14:paraId="72548D3A" w14:textId="77777777" w:rsidR="000F671D" w:rsidRDefault="000F671D" w:rsidP="00F43901">
      <w:pPr>
        <w:pStyle w:val="BodyText125"/>
        <w:numPr>
          <w:ilvl w:val="1"/>
          <w:numId w:val="27"/>
        </w:numPr>
        <w:ind w:hanging="180"/>
      </w:pPr>
      <w:r>
        <w:t>For residential uses, the number and type or types of units in the preexisting development multiplied by the D.C. rate or rates applicable to such units; and,</w:t>
      </w:r>
    </w:p>
    <w:p w14:paraId="30BAD7D7" w14:textId="77777777" w:rsidR="000F671D" w:rsidRDefault="000F671D" w:rsidP="00F43901">
      <w:pPr>
        <w:pStyle w:val="BodyText125"/>
        <w:numPr>
          <w:ilvl w:val="1"/>
          <w:numId w:val="27"/>
        </w:numPr>
        <w:ind w:hanging="180"/>
      </w:pPr>
      <w:r>
        <w:t>For non-residential uses, the number of square meters of building area of the pre-existing development multiplied by the D.C. rate applicable to such building area.</w:t>
      </w:r>
    </w:p>
    <w:p w14:paraId="0AF730FF" w14:textId="77777777" w:rsidR="000F671D" w:rsidRDefault="000F671D" w:rsidP="000F671D">
      <w:pPr>
        <w:pStyle w:val="BodyText125"/>
        <w:rPr>
          <w:b/>
          <w:bCs/>
          <w:u w:val="single"/>
        </w:rPr>
      </w:pPr>
      <w:r>
        <w:rPr>
          <w:b/>
          <w:bCs/>
          <w:u w:val="single"/>
        </w:rPr>
        <w:t>Maximum Re-development Allowance and Carry Forward</w:t>
      </w:r>
    </w:p>
    <w:p w14:paraId="1FFEF588" w14:textId="481F4A9A" w:rsidR="002E2F9B" w:rsidRPr="00FB0B91" w:rsidRDefault="000F671D" w:rsidP="000F671D">
      <w:pPr>
        <w:pStyle w:val="BodyText125"/>
      </w:pPr>
      <w:r>
        <w:t xml:space="preserve">The maximum re-development allowance shall be the D.C. otherwise payable.  Any unused re-development allowance may be carried forward and applied to any subsequent D.C. payable in respect of the same land to which it relates within five (5) years from the date of demolition of the pre-existing development to which it relates. </w:t>
      </w:r>
      <w:r w:rsidR="002E2F9B" w:rsidRPr="00FB0B91">
        <w:t xml:space="preserve">  </w:t>
      </w:r>
    </w:p>
    <w:p w14:paraId="131E210D" w14:textId="77777777" w:rsidR="002E2F9B" w:rsidRPr="00FB0B91" w:rsidRDefault="002E2F9B" w:rsidP="00B16524">
      <w:pPr>
        <w:pStyle w:val="Heading3"/>
        <w:numPr>
          <w:ilvl w:val="2"/>
          <w:numId w:val="3"/>
        </w:numPr>
      </w:pPr>
      <w:bookmarkStart w:id="350" w:name="_Toc494293035"/>
      <w:bookmarkStart w:id="351" w:name="_Toc520300774"/>
      <w:bookmarkStart w:id="352" w:name="_Toc520822970"/>
      <w:bookmarkStart w:id="353" w:name="_Toc520911015"/>
      <w:bookmarkStart w:id="354" w:name="_Toc520911396"/>
      <w:bookmarkStart w:id="355" w:name="_Toc154068796"/>
      <w:r w:rsidRPr="00FB0B91">
        <w:t>Exemptions (full or partial)</w:t>
      </w:r>
      <w:bookmarkEnd w:id="350"/>
      <w:bookmarkEnd w:id="351"/>
      <w:bookmarkEnd w:id="352"/>
      <w:bookmarkEnd w:id="353"/>
      <w:bookmarkEnd w:id="354"/>
      <w:bookmarkEnd w:id="355"/>
    </w:p>
    <w:p w14:paraId="05E69D82" w14:textId="77777777" w:rsidR="002E2F9B" w:rsidRPr="00FB0B91" w:rsidRDefault="002E2F9B" w:rsidP="00F43901">
      <w:pPr>
        <w:pStyle w:val="BodyText125"/>
        <w:numPr>
          <w:ilvl w:val="0"/>
          <w:numId w:val="17"/>
        </w:numPr>
      </w:pPr>
      <w:r w:rsidRPr="00FB0B91">
        <w:t>Statutory exemptions</w:t>
      </w:r>
      <w:r w:rsidR="00883A5C">
        <w:t>:</w:t>
      </w:r>
    </w:p>
    <w:p w14:paraId="36757955" w14:textId="77777777" w:rsidR="00951C64" w:rsidRPr="00951C64" w:rsidRDefault="00951C64" w:rsidP="00951C64">
      <w:pPr>
        <w:pStyle w:val="BodyTextbullets125"/>
        <w:ind w:left="1440"/>
      </w:pPr>
      <w:r w:rsidRPr="00951C64">
        <w:t>industrial building additions of up to and including 50% of the existing G.F.A. (defined in O. Reg. 82/98, section 1) of the building; for industrial building additions that exceed 50% of the existing G.F.A., only the portion of the addition in excess of 50% is subject to D.C.s (subsection 4 (3) of the D.C.A.);</w:t>
      </w:r>
    </w:p>
    <w:p w14:paraId="53BC7AA2" w14:textId="77777777" w:rsidR="00951C64" w:rsidRPr="00951C64" w:rsidRDefault="00951C64" w:rsidP="00951C64">
      <w:pPr>
        <w:pStyle w:val="BodyTextbullets125"/>
        <w:ind w:left="1440"/>
      </w:pPr>
      <w:r w:rsidRPr="00951C64">
        <w:t>buildings or structures owned by and used for the purposes of any municipality, local board, or Board of Education (section 3);</w:t>
      </w:r>
    </w:p>
    <w:p w14:paraId="00B98102" w14:textId="77777777" w:rsidR="00951C64" w:rsidRPr="00951C64" w:rsidRDefault="00951C64" w:rsidP="00951C64">
      <w:pPr>
        <w:pStyle w:val="BodyTextbullets125"/>
        <w:ind w:left="1440"/>
      </w:pPr>
      <w:r w:rsidRPr="00951C64">
        <w:t>may add up to 2 apartments in an existing or new detached, semi-detached, or rowhouse (including in an ancillary structure);</w:t>
      </w:r>
    </w:p>
    <w:p w14:paraId="6796C945" w14:textId="77777777" w:rsidR="00951C64" w:rsidRPr="00951C64" w:rsidRDefault="00951C64" w:rsidP="00951C64">
      <w:pPr>
        <w:pStyle w:val="BodyTextbullets125"/>
        <w:ind w:left="1440"/>
      </w:pPr>
      <w:r w:rsidRPr="00951C64">
        <w:t>add one additional unit or 1% of existing units in an existing rental residential building;</w:t>
      </w:r>
    </w:p>
    <w:p w14:paraId="1EB447F7" w14:textId="77777777" w:rsidR="00951C64" w:rsidRPr="00951C64" w:rsidRDefault="00951C64" w:rsidP="00951C64">
      <w:pPr>
        <w:pStyle w:val="BodyTextbullets125"/>
        <w:ind w:left="1440"/>
      </w:pPr>
      <w:r w:rsidRPr="00951C64">
        <w:t>a university in Ontario that receives direct, regular, and ongoing operating funding from the Government of Ontario;</w:t>
      </w:r>
    </w:p>
    <w:p w14:paraId="0539A341" w14:textId="77777777" w:rsidR="00951C64" w:rsidRPr="00951C64" w:rsidRDefault="00951C64" w:rsidP="00951C64">
      <w:pPr>
        <w:pStyle w:val="BodyTextbullets125"/>
        <w:ind w:left="1440"/>
      </w:pPr>
      <w:r w:rsidRPr="00951C64">
        <w:t>affordable units, attainable units, and affordable inclusionary zoning units (to be in force at a later date);</w:t>
      </w:r>
    </w:p>
    <w:p w14:paraId="0F38A3E5" w14:textId="77777777" w:rsidR="00951C64" w:rsidRPr="00951C64" w:rsidRDefault="00951C64" w:rsidP="00951C64">
      <w:pPr>
        <w:pStyle w:val="BodyTextbullets125"/>
        <w:ind w:left="1440"/>
      </w:pPr>
      <w:r w:rsidRPr="00951C64">
        <w:t>non-profit housing; and</w:t>
      </w:r>
    </w:p>
    <w:p w14:paraId="0F8F7444" w14:textId="0AF45346" w:rsidR="002E2F9B" w:rsidRPr="002E2F9B" w:rsidRDefault="00951C64" w:rsidP="00951C64">
      <w:pPr>
        <w:pStyle w:val="BodyTextbullets125"/>
        <w:ind w:left="1440"/>
      </w:pPr>
      <w:r w:rsidRPr="00951C64">
        <w:t>discount for rental housing units based on bedroom size (i.e. three or more bedrooms – 25% reduction, two bedrooms – 20% reduction, and all others – 15% reduction).</w:t>
      </w:r>
    </w:p>
    <w:p w14:paraId="0D6C002A" w14:textId="77777777" w:rsidR="002E2F9B" w:rsidRPr="00FB0B91" w:rsidRDefault="002E2F9B" w:rsidP="00F43901">
      <w:pPr>
        <w:pStyle w:val="BodyText125"/>
        <w:numPr>
          <w:ilvl w:val="0"/>
          <w:numId w:val="17"/>
        </w:numPr>
      </w:pPr>
      <w:r w:rsidRPr="00FB0B91">
        <w:t>Non-statutory exemptions</w:t>
      </w:r>
      <w:r w:rsidR="00883A5C">
        <w:t>:</w:t>
      </w:r>
    </w:p>
    <w:p w14:paraId="034F0C3A" w14:textId="2E9917A0" w:rsidR="002E2F9B" w:rsidRPr="002E2F9B" w:rsidRDefault="00951C64" w:rsidP="002E2F9B">
      <w:pPr>
        <w:pStyle w:val="BodyTextbullets125"/>
        <w:ind w:left="1440"/>
      </w:pPr>
      <w:r w:rsidRPr="00951C64">
        <w:t>Hospitals within the meaning of the Public Hospitals Act, R.S.O. 1990, c.P.40, as amended</w:t>
      </w:r>
      <w:r w:rsidR="002E2F9B" w:rsidRPr="002E2F9B">
        <w:t>;</w:t>
      </w:r>
    </w:p>
    <w:p w14:paraId="0A94ACB2" w14:textId="7E81AA02" w:rsidR="002E2F9B" w:rsidRPr="002E2F9B" w:rsidRDefault="00951C64" w:rsidP="002E2F9B">
      <w:pPr>
        <w:pStyle w:val="BodyTextbullets125"/>
        <w:ind w:left="1440"/>
      </w:pPr>
      <w:r>
        <w:t>Grand River Conservation Area</w:t>
      </w:r>
      <w:r w:rsidR="002E2F9B" w:rsidRPr="002E2F9B">
        <w:t>;</w:t>
      </w:r>
    </w:p>
    <w:p w14:paraId="04B1CECF" w14:textId="0BFECF09" w:rsidR="002E2F9B" w:rsidRPr="002E2F9B" w:rsidRDefault="00951C64" w:rsidP="002E2F9B">
      <w:pPr>
        <w:pStyle w:val="BodyTextbullets125"/>
        <w:ind w:left="1440"/>
      </w:pPr>
      <w:r>
        <w:t>Contaminated Sites</w:t>
      </w:r>
      <w:r w:rsidR="002E2F9B" w:rsidRPr="002E2F9B">
        <w:t>;</w:t>
      </w:r>
    </w:p>
    <w:p w14:paraId="345790C4" w14:textId="54A86266" w:rsidR="002E2F9B" w:rsidRPr="002E2F9B" w:rsidRDefault="00951C64" w:rsidP="002E2F9B">
      <w:pPr>
        <w:pStyle w:val="BodyTextbullets125"/>
        <w:ind w:left="1440"/>
      </w:pPr>
      <w:r w:rsidRPr="00951C64">
        <w:t>Temporary uses - any residential or non-residential building or structure constructed in accordance with a temporary use by-law pursuant to section 39 of the Planning Act, R.S.O. 1990 or any temporary erection of a building without foundation for a period not exceeding six consecutive months and not more than six months in any calendar year (includes tents, seasonal garden centres, and temporary sales trailers)</w:t>
      </w:r>
      <w:r w:rsidR="002E2F9B" w:rsidRPr="002E2F9B">
        <w:t>;</w:t>
      </w:r>
    </w:p>
    <w:p w14:paraId="6566F37B" w14:textId="77777777" w:rsidR="00951C64" w:rsidRDefault="00951C64" w:rsidP="002E2F9B">
      <w:pPr>
        <w:pStyle w:val="BodyTextbullets125"/>
        <w:ind w:left="1440"/>
      </w:pPr>
      <w:r>
        <w:t>Farm buildings</w:t>
      </w:r>
      <w:r w:rsidR="002E2F9B" w:rsidRPr="002E2F9B">
        <w:t xml:space="preserve">; </w:t>
      </w:r>
    </w:p>
    <w:p w14:paraId="7F179593" w14:textId="798DAC0F" w:rsidR="00951C64" w:rsidRDefault="00951C64" w:rsidP="002E2F9B">
      <w:pPr>
        <w:pStyle w:val="BodyTextbullets125"/>
        <w:ind w:left="1440"/>
      </w:pPr>
      <w:r w:rsidRPr="00951C64">
        <w:t>Buildings that have been designated under the Ontario Heritage Act</w:t>
      </w:r>
      <w:r>
        <w:t>;</w:t>
      </w:r>
      <w:r w:rsidR="0087583E">
        <w:t xml:space="preserve"> and</w:t>
      </w:r>
    </w:p>
    <w:p w14:paraId="68E7136A" w14:textId="5A8DB8F8" w:rsidR="002E2F9B" w:rsidRPr="002E2F9B" w:rsidRDefault="00951C64" w:rsidP="00D931C2">
      <w:pPr>
        <w:pStyle w:val="BodyTextbullets125"/>
        <w:ind w:left="1440"/>
      </w:pPr>
      <w:r>
        <w:t>Home based businesses</w:t>
      </w:r>
      <w:r w:rsidR="0087583E">
        <w:t>.</w:t>
      </w:r>
    </w:p>
    <w:p w14:paraId="03E0C49E" w14:textId="77777777" w:rsidR="002E2F9B" w:rsidRPr="00FB0B91" w:rsidRDefault="002E2F9B" w:rsidP="00B16524">
      <w:pPr>
        <w:pStyle w:val="Heading3"/>
        <w:numPr>
          <w:ilvl w:val="2"/>
          <w:numId w:val="3"/>
        </w:numPr>
      </w:pPr>
      <w:bookmarkStart w:id="356" w:name="_Toc494293036"/>
      <w:bookmarkStart w:id="357" w:name="_Toc520300775"/>
      <w:bookmarkStart w:id="358" w:name="_Toc520822971"/>
      <w:bookmarkStart w:id="359" w:name="_Toc520911016"/>
      <w:bookmarkStart w:id="360" w:name="_Toc520911397"/>
      <w:bookmarkStart w:id="361" w:name="_Toc154068797"/>
      <w:r w:rsidRPr="00FB0B91">
        <w:t>Phasing in</w:t>
      </w:r>
      <w:bookmarkEnd w:id="356"/>
      <w:bookmarkEnd w:id="357"/>
      <w:bookmarkEnd w:id="358"/>
      <w:bookmarkEnd w:id="359"/>
      <w:bookmarkEnd w:id="360"/>
      <w:bookmarkEnd w:id="361"/>
    </w:p>
    <w:p w14:paraId="2EF80640" w14:textId="3CF68153" w:rsidR="00951C64" w:rsidRDefault="00951C64" w:rsidP="002E2F9B">
      <w:pPr>
        <w:pStyle w:val="BodyText125"/>
      </w:pPr>
      <w:r w:rsidRPr="00951C64">
        <w:t>As required by Bill 23, the calculated D.C. will be phased-in over a five-year period as follows</w:t>
      </w:r>
      <w:r>
        <w:t>:</w:t>
      </w:r>
    </w:p>
    <w:p w14:paraId="78819388" w14:textId="77777777" w:rsidR="00951C64" w:rsidRDefault="00951C64" w:rsidP="00951C64">
      <w:pPr>
        <w:pStyle w:val="BodyTextbullets125"/>
      </w:pPr>
      <w:r>
        <w:t>Year 1 – 80% of the maximum charge;</w:t>
      </w:r>
    </w:p>
    <w:p w14:paraId="1E05D07A" w14:textId="77777777" w:rsidR="00951C64" w:rsidRDefault="00951C64" w:rsidP="00951C64">
      <w:pPr>
        <w:pStyle w:val="BodyTextbullets125"/>
      </w:pPr>
      <w:r>
        <w:t>Year 2 – 85% of the maximum charge;</w:t>
      </w:r>
    </w:p>
    <w:p w14:paraId="601BACC3" w14:textId="77777777" w:rsidR="00951C64" w:rsidRDefault="00951C64" w:rsidP="00951C64">
      <w:pPr>
        <w:pStyle w:val="BodyTextbullets125"/>
      </w:pPr>
      <w:r>
        <w:t>Year 3 – 90% of the maximum charge;</w:t>
      </w:r>
    </w:p>
    <w:p w14:paraId="20BFA9E1" w14:textId="77777777" w:rsidR="00951C64" w:rsidRDefault="00951C64" w:rsidP="00951C64">
      <w:pPr>
        <w:pStyle w:val="BodyTextbullets125"/>
      </w:pPr>
      <w:r>
        <w:t>Year 4 – 95% of the maximum charge; and</w:t>
      </w:r>
    </w:p>
    <w:p w14:paraId="4C76E1AA" w14:textId="30FF8AAB" w:rsidR="00951C64" w:rsidRDefault="00951C64" w:rsidP="00951C64">
      <w:pPr>
        <w:pStyle w:val="BodyTextbullets125"/>
      </w:pPr>
      <w:r>
        <w:t>Year 5 to expiry – 100% of the maximum charge.</w:t>
      </w:r>
    </w:p>
    <w:p w14:paraId="7575C8B1" w14:textId="08FAEE37" w:rsidR="00694631" w:rsidRPr="00FB0B91" w:rsidRDefault="00694631" w:rsidP="00B57375">
      <w:pPr>
        <w:pStyle w:val="BodyText125"/>
      </w:pPr>
      <w:r>
        <w:t>It is noted that, as of the time of writing, the Province has announced (on December 13, 2023) potential changes to the phased-in requirements and the removal of studies as eligible capital costs.  The details of these changes will be forthcoming in early 2024 and Watson will monitor and advise as to the nature of these changes.</w:t>
      </w:r>
    </w:p>
    <w:p w14:paraId="18542A36" w14:textId="77777777" w:rsidR="002E2F9B" w:rsidRPr="00FB0B91" w:rsidRDefault="002E2F9B" w:rsidP="00B16524">
      <w:pPr>
        <w:pStyle w:val="Heading3"/>
        <w:numPr>
          <w:ilvl w:val="2"/>
          <w:numId w:val="3"/>
        </w:numPr>
      </w:pPr>
      <w:bookmarkStart w:id="362" w:name="_Toc494293037"/>
      <w:bookmarkStart w:id="363" w:name="_Toc520300776"/>
      <w:bookmarkStart w:id="364" w:name="_Toc520822972"/>
      <w:bookmarkStart w:id="365" w:name="_Toc520911017"/>
      <w:bookmarkStart w:id="366" w:name="_Toc520911398"/>
      <w:bookmarkStart w:id="367" w:name="_Toc154068798"/>
      <w:r w:rsidRPr="00FB0B91">
        <w:t>Timing of Collection</w:t>
      </w:r>
      <w:bookmarkEnd w:id="362"/>
      <w:bookmarkEnd w:id="363"/>
      <w:bookmarkEnd w:id="364"/>
      <w:bookmarkEnd w:id="365"/>
      <w:bookmarkEnd w:id="366"/>
      <w:bookmarkEnd w:id="367"/>
    </w:p>
    <w:p w14:paraId="6AC8B30C" w14:textId="7706C3BB" w:rsidR="0087583E" w:rsidRDefault="0087583E" w:rsidP="002E2F9B">
      <w:pPr>
        <w:pStyle w:val="BodyText125"/>
      </w:pPr>
      <w:r>
        <w:t>The D.C.s for water, wastewater, stormwater, and services related to a highway are payable at the time of agreement for developments proceeding under Section 51 of the Planning Act (subdivisions) or 53 of the Planning Act (consents).</w:t>
      </w:r>
    </w:p>
    <w:p w14:paraId="6FE40E5D" w14:textId="145388DD" w:rsidR="002E2F9B" w:rsidRDefault="00951C64" w:rsidP="002E2F9B">
      <w:pPr>
        <w:pStyle w:val="BodyText125"/>
      </w:pPr>
      <w:r w:rsidRPr="00951C64">
        <w:t xml:space="preserve">The D.C.s for all </w:t>
      </w:r>
      <w:r w:rsidR="0087583E">
        <w:t xml:space="preserve">other </w:t>
      </w:r>
      <w:r w:rsidRPr="00951C64">
        <w:t xml:space="preserve">services and classes are payable upon issuance of </w:t>
      </w:r>
      <w:r w:rsidR="0087583E">
        <w:t xml:space="preserve">the first </w:t>
      </w:r>
      <w:r w:rsidRPr="00951C64">
        <w:t xml:space="preserve">building permit for each dwelling unit, building, or structure, subject to early or late payment agreements entered into by the </w:t>
      </w:r>
      <w:r>
        <w:t>City</w:t>
      </w:r>
      <w:r w:rsidRPr="00951C64">
        <w:t xml:space="preserve"> and an owner under s. 27 of the D.C.A.</w:t>
      </w:r>
    </w:p>
    <w:p w14:paraId="51C6DE72" w14:textId="4A3C898D" w:rsidR="00951C64" w:rsidRDefault="00951C64" w:rsidP="00951C64">
      <w:pPr>
        <w:pStyle w:val="BodyText125"/>
      </w:pPr>
      <w:r>
        <w:t xml:space="preserve">Rental housing and institutional developments will pay D.C.s in </w:t>
      </w:r>
      <w:r w:rsidR="0087583E">
        <w:t>6</w:t>
      </w:r>
      <w:r>
        <w:t xml:space="preserve"> equal annual payments commencing at occupancy.  Moreover, the D.C. amount for all developments occurring within two (2) years of a Site Plan or Zoning By-law Amendment planning approval (for applications submitted after January 1, 2020), shall be determined based on the D.C. in effect on the day of the applicable Site Plan or Zoning By-law Amendment application.</w:t>
      </w:r>
    </w:p>
    <w:p w14:paraId="1AB71BC2" w14:textId="108B907E" w:rsidR="00951C64" w:rsidRPr="00FB0B91" w:rsidRDefault="00951C64" w:rsidP="00951C64">
      <w:pPr>
        <w:pStyle w:val="BodyText125"/>
      </w:pPr>
      <w:r>
        <w:t xml:space="preserve">Installment payments and payments determined at the time of Site Plan or Zoning By-law Amendment application are subject to annual interest charges.  The maximum interest rate the </w:t>
      </w:r>
      <w:r w:rsidR="0087583E">
        <w:t>City</w:t>
      </w:r>
      <w:r>
        <w:t xml:space="preserve"> can impose is the average prime rate plus 1%.</w:t>
      </w:r>
    </w:p>
    <w:p w14:paraId="52B87063" w14:textId="77777777" w:rsidR="002E2F9B" w:rsidRPr="00FB0B91" w:rsidRDefault="002E2F9B" w:rsidP="00B16524">
      <w:pPr>
        <w:pStyle w:val="Heading3"/>
        <w:numPr>
          <w:ilvl w:val="2"/>
          <w:numId w:val="3"/>
        </w:numPr>
      </w:pPr>
      <w:bookmarkStart w:id="368" w:name="_Toc494293038"/>
      <w:bookmarkStart w:id="369" w:name="_Toc520300777"/>
      <w:bookmarkStart w:id="370" w:name="_Toc520822973"/>
      <w:bookmarkStart w:id="371" w:name="_Toc520911018"/>
      <w:bookmarkStart w:id="372" w:name="_Toc520911399"/>
      <w:bookmarkStart w:id="373" w:name="_Toc154068799"/>
      <w:r w:rsidRPr="00FB0B91">
        <w:t>Indexing</w:t>
      </w:r>
      <w:bookmarkEnd w:id="368"/>
      <w:bookmarkEnd w:id="369"/>
      <w:bookmarkEnd w:id="370"/>
      <w:bookmarkEnd w:id="371"/>
      <w:bookmarkEnd w:id="372"/>
      <w:bookmarkEnd w:id="373"/>
    </w:p>
    <w:p w14:paraId="08BC5E75" w14:textId="76EFC64B" w:rsidR="002E2F9B" w:rsidRPr="00FB0B91" w:rsidRDefault="002E2F9B" w:rsidP="002E2F9B">
      <w:pPr>
        <w:pStyle w:val="BodyText125"/>
      </w:pPr>
      <w:r w:rsidRPr="00FB0B91">
        <w:t xml:space="preserve">Indexing of the </w:t>
      </w:r>
      <w:r>
        <w:t>D.C.</w:t>
      </w:r>
      <w:r w:rsidRPr="00FB0B91">
        <w:t xml:space="preserve">s shall be implemented on a mandatory basis annually commencing on </w:t>
      </w:r>
      <w:r w:rsidR="00856ED0">
        <w:t xml:space="preserve">December 1, 2024, and each December </w:t>
      </w:r>
      <w:r w:rsidR="0087583E">
        <w:t xml:space="preserve">1 thereafter, </w:t>
      </w:r>
      <w:r w:rsidRPr="00FB0B91">
        <w:t>in accordance with the Statistics Canada Quarterly, Non-Residential Building Construction Price Index (</w:t>
      </w:r>
      <w:r>
        <w:t>Table 18-10-0</w:t>
      </w:r>
      <w:r w:rsidR="00951C64">
        <w:t>276</w:t>
      </w:r>
      <w:r>
        <w:t>-0</w:t>
      </w:r>
      <w:r w:rsidR="00951C64">
        <w:t>2</w:t>
      </w:r>
      <w:r w:rsidRPr="00FB0B91">
        <w:t>)</w:t>
      </w:r>
      <w:r w:rsidRPr="00FB0B91">
        <w:rPr>
          <w:rStyle w:val="FootnoteReference"/>
          <w:szCs w:val="22"/>
        </w:rPr>
        <w:footnoteReference w:id="11"/>
      </w:r>
      <w:r w:rsidRPr="00FB0B91">
        <w:t xml:space="preserve"> for the most recent year-over-year period.  </w:t>
      </w:r>
    </w:p>
    <w:p w14:paraId="3D8075D6" w14:textId="77777777" w:rsidR="002E2F9B" w:rsidRPr="00FB0B91" w:rsidRDefault="002E2F9B" w:rsidP="00B16524">
      <w:pPr>
        <w:pStyle w:val="Heading3"/>
        <w:numPr>
          <w:ilvl w:val="2"/>
          <w:numId w:val="3"/>
        </w:numPr>
      </w:pPr>
      <w:bookmarkStart w:id="374" w:name="_Toc494293039"/>
      <w:bookmarkStart w:id="375" w:name="_Toc520300778"/>
      <w:bookmarkStart w:id="376" w:name="_Toc520822974"/>
      <w:bookmarkStart w:id="377" w:name="_Toc520911019"/>
      <w:bookmarkStart w:id="378" w:name="_Toc520911400"/>
      <w:bookmarkStart w:id="379" w:name="_Toc154068800"/>
      <w:r w:rsidRPr="00FB0B91">
        <w:t>The Applicable Areas</w:t>
      </w:r>
      <w:bookmarkEnd w:id="374"/>
      <w:bookmarkEnd w:id="375"/>
      <w:bookmarkEnd w:id="376"/>
      <w:bookmarkEnd w:id="377"/>
      <w:bookmarkEnd w:id="378"/>
      <w:bookmarkEnd w:id="379"/>
    </w:p>
    <w:p w14:paraId="04356997" w14:textId="4B639873" w:rsidR="002E2F9B" w:rsidRPr="00FB0B91" w:rsidRDefault="002E2F9B" w:rsidP="002E2F9B">
      <w:pPr>
        <w:pStyle w:val="BodyText125"/>
        <w:rPr>
          <w:szCs w:val="22"/>
        </w:rPr>
      </w:pPr>
      <w:r w:rsidRPr="00FB0B91">
        <w:t xml:space="preserve">The charges developed herein provide for varying charges within </w:t>
      </w:r>
      <w:r w:rsidRPr="00951C64">
        <w:t xml:space="preserve">the </w:t>
      </w:r>
      <w:r w:rsidR="00A1355F" w:rsidRPr="00951C64">
        <w:t>City</w:t>
      </w:r>
      <w:r w:rsidRPr="00951C64">
        <w:t>, as follows:</w:t>
      </w:r>
    </w:p>
    <w:p w14:paraId="102066FA" w14:textId="33FEBA6D" w:rsidR="002E2F9B" w:rsidRPr="004C1E33" w:rsidRDefault="00883A5C" w:rsidP="002E2F9B">
      <w:pPr>
        <w:pStyle w:val="BodyTextbullets125"/>
      </w:pPr>
      <w:r>
        <w:t>a</w:t>
      </w:r>
      <w:r w:rsidR="002E2F9B" w:rsidRPr="00FB0B91">
        <w:t xml:space="preserve">ll </w:t>
      </w:r>
      <w:r w:rsidR="00951C64">
        <w:t>City</w:t>
      </w:r>
      <w:r w:rsidR="002E2F9B" w:rsidRPr="00FB0B91">
        <w:t xml:space="preserve">-wide </w:t>
      </w:r>
      <w:r w:rsidRPr="004C1E33">
        <w:t>s</w:t>
      </w:r>
      <w:r w:rsidR="002E2F9B" w:rsidRPr="004C1E33">
        <w:t xml:space="preserve">ervices – the full residential and non-residential charge will be imposed on all lands within the </w:t>
      </w:r>
      <w:r w:rsidR="00A1355F" w:rsidRPr="004C1E33">
        <w:t>City</w:t>
      </w:r>
      <w:r w:rsidR="002E2F9B" w:rsidRPr="004C1E33">
        <w:t>; and</w:t>
      </w:r>
    </w:p>
    <w:p w14:paraId="461B433C" w14:textId="204B7A8D" w:rsidR="002E2F9B" w:rsidRPr="004C1E33" w:rsidRDefault="00883A5C" w:rsidP="002E2F9B">
      <w:pPr>
        <w:pStyle w:val="BodyTextbullets125"/>
      </w:pPr>
      <w:r w:rsidRPr="004C1E33">
        <w:t>w</w:t>
      </w:r>
      <w:r w:rsidR="002E2F9B" w:rsidRPr="004C1E33">
        <w:t>ater</w:t>
      </w:r>
      <w:r w:rsidR="00951C64" w:rsidRPr="004C1E33">
        <w:t>, wastewater</w:t>
      </w:r>
      <w:r w:rsidR="002E2F9B" w:rsidRPr="004C1E33">
        <w:t xml:space="preserve"> and </w:t>
      </w:r>
      <w:r w:rsidR="00951C64" w:rsidRPr="004C1E33">
        <w:t>storm</w:t>
      </w:r>
      <w:r w:rsidR="002E2F9B" w:rsidRPr="004C1E33">
        <w:t xml:space="preserve">water – the full residential and non-residential charge will be imposed </w:t>
      </w:r>
      <w:r w:rsidR="00AF3F46">
        <w:t>in the urban area of the City</w:t>
      </w:r>
      <w:r w:rsidR="002E2F9B" w:rsidRPr="004C1E33">
        <w:t>.</w:t>
      </w:r>
    </w:p>
    <w:p w14:paraId="1EEF3A67" w14:textId="77777777" w:rsidR="002E2F9B" w:rsidRPr="00FB0B91" w:rsidRDefault="002E2F9B" w:rsidP="00B16524">
      <w:pPr>
        <w:pStyle w:val="Heading2"/>
        <w:numPr>
          <w:ilvl w:val="1"/>
          <w:numId w:val="3"/>
        </w:numPr>
        <w:rPr>
          <w:szCs w:val="22"/>
        </w:rPr>
      </w:pPr>
      <w:bookmarkStart w:id="380" w:name="_Toc494293040"/>
      <w:bookmarkStart w:id="381" w:name="_Toc520300779"/>
      <w:bookmarkStart w:id="382" w:name="_Toc520822975"/>
      <w:bookmarkStart w:id="383" w:name="_Toc520911020"/>
      <w:bookmarkStart w:id="384" w:name="_Toc520911401"/>
      <w:bookmarkStart w:id="385" w:name="_Toc154068801"/>
      <w:r>
        <w:t>O</w:t>
      </w:r>
      <w:r w:rsidRPr="00FB0B91">
        <w:t xml:space="preserve">ther </w:t>
      </w:r>
      <w:r>
        <w:t>D.C.</w:t>
      </w:r>
      <w:r w:rsidRPr="00FB0B91">
        <w:t xml:space="preserve"> By-law Provisions</w:t>
      </w:r>
      <w:bookmarkEnd w:id="380"/>
      <w:bookmarkEnd w:id="381"/>
      <w:bookmarkEnd w:id="382"/>
      <w:bookmarkEnd w:id="383"/>
      <w:bookmarkEnd w:id="384"/>
      <w:bookmarkEnd w:id="385"/>
    </w:p>
    <w:p w14:paraId="5AA04095" w14:textId="77777777" w:rsidR="002E2F9B" w:rsidRPr="00FF6955" w:rsidRDefault="002E2F9B" w:rsidP="00FF6955">
      <w:pPr>
        <w:pStyle w:val="BoldHeading"/>
      </w:pPr>
      <w:r w:rsidRPr="00FF6955">
        <w:t>It is recommended that:</w:t>
      </w:r>
    </w:p>
    <w:p w14:paraId="50DA72B0" w14:textId="77777777" w:rsidR="002E2F9B" w:rsidRPr="004C1E33" w:rsidRDefault="002E2F9B" w:rsidP="00B16524">
      <w:pPr>
        <w:pStyle w:val="Heading3"/>
        <w:numPr>
          <w:ilvl w:val="2"/>
          <w:numId w:val="3"/>
        </w:numPr>
      </w:pPr>
      <w:bookmarkStart w:id="386" w:name="_Toc494293041"/>
      <w:bookmarkStart w:id="387" w:name="_Toc520300780"/>
      <w:bookmarkStart w:id="388" w:name="_Toc520822976"/>
      <w:bookmarkStart w:id="389" w:name="_Toc520911021"/>
      <w:bookmarkStart w:id="390" w:name="_Toc520911402"/>
      <w:bookmarkStart w:id="391" w:name="_Toc154068802"/>
      <w:r w:rsidRPr="004C1E33">
        <w:t>Categories of Services for Reserve Fund and Credit Purposes</w:t>
      </w:r>
      <w:bookmarkEnd w:id="386"/>
      <w:bookmarkEnd w:id="387"/>
      <w:bookmarkEnd w:id="388"/>
      <w:bookmarkEnd w:id="389"/>
      <w:bookmarkEnd w:id="390"/>
      <w:bookmarkEnd w:id="391"/>
    </w:p>
    <w:p w14:paraId="67C90099" w14:textId="7080C1F0" w:rsidR="004C1E33" w:rsidRDefault="002E2F9B" w:rsidP="002E2F9B">
      <w:pPr>
        <w:pStyle w:val="BodyText125"/>
      </w:pPr>
      <w:r w:rsidRPr="004C1E33">
        <w:t xml:space="preserve">The </w:t>
      </w:r>
      <w:r w:rsidR="00A1355F" w:rsidRPr="004C1E33">
        <w:t>City</w:t>
      </w:r>
      <w:r w:rsidRPr="004C1E33">
        <w:t xml:space="preserve">’s D.C. collections are reserved in </w:t>
      </w:r>
      <w:r w:rsidR="007756F1">
        <w:t xml:space="preserve">9 </w:t>
      </w:r>
      <w:r w:rsidRPr="004C1E33">
        <w:t xml:space="preserve">separate reserve funds: </w:t>
      </w:r>
      <w:r w:rsidR="004C1E33">
        <w:t>services related to a highway</w:t>
      </w:r>
      <w:r w:rsidRPr="004C1E33">
        <w:t xml:space="preserve">, </w:t>
      </w:r>
      <w:r w:rsidR="00883A5C" w:rsidRPr="004C1E33">
        <w:t>p</w:t>
      </w:r>
      <w:r w:rsidRPr="004C1E33">
        <w:t xml:space="preserve">ublic </w:t>
      </w:r>
      <w:r w:rsidR="00883A5C" w:rsidRPr="004C1E33">
        <w:t>w</w:t>
      </w:r>
      <w:r w:rsidRPr="004C1E33">
        <w:t xml:space="preserve">orks, </w:t>
      </w:r>
      <w:r w:rsidR="00883A5C" w:rsidRPr="004C1E33">
        <w:t>f</w:t>
      </w:r>
      <w:r w:rsidRPr="004C1E33">
        <w:t xml:space="preserve">ire </w:t>
      </w:r>
      <w:r w:rsidR="00883A5C" w:rsidRPr="004C1E33">
        <w:t>p</w:t>
      </w:r>
      <w:r w:rsidRPr="004C1E33">
        <w:t xml:space="preserve">rotection </w:t>
      </w:r>
      <w:r w:rsidR="00883A5C" w:rsidRPr="004C1E33">
        <w:t>s</w:t>
      </w:r>
      <w:r w:rsidRPr="004C1E33">
        <w:t xml:space="preserve">ervices, </w:t>
      </w:r>
      <w:r w:rsidR="004C1E33">
        <w:t xml:space="preserve">parks and </w:t>
      </w:r>
      <w:r w:rsidR="00883A5C" w:rsidRPr="004C1E33">
        <w:t>r</w:t>
      </w:r>
      <w:r w:rsidRPr="004C1E33">
        <w:t xml:space="preserve">ecreation </w:t>
      </w:r>
      <w:r w:rsidR="00883A5C" w:rsidRPr="004C1E33">
        <w:t>s</w:t>
      </w:r>
      <w:r w:rsidRPr="004C1E33">
        <w:t xml:space="preserve">ervices, </w:t>
      </w:r>
      <w:r w:rsidR="00883A5C" w:rsidRPr="004C1E33">
        <w:t>l</w:t>
      </w:r>
      <w:r w:rsidRPr="004C1E33">
        <w:t xml:space="preserve">ibrary </w:t>
      </w:r>
      <w:r w:rsidR="00883A5C" w:rsidRPr="004C1E33">
        <w:t>s</w:t>
      </w:r>
      <w:r w:rsidRPr="004C1E33">
        <w:t xml:space="preserve">ervices, </w:t>
      </w:r>
      <w:r w:rsidR="00883A5C" w:rsidRPr="004C1E33">
        <w:t>w</w:t>
      </w:r>
      <w:r w:rsidRPr="004C1E33">
        <w:t xml:space="preserve">ater </w:t>
      </w:r>
      <w:r w:rsidR="00883A5C" w:rsidRPr="004C1E33">
        <w:t>s</w:t>
      </w:r>
      <w:r w:rsidRPr="004C1E33">
        <w:t>ervices</w:t>
      </w:r>
      <w:r w:rsidR="002D2D63" w:rsidRPr="004C1E33">
        <w:t>,</w:t>
      </w:r>
      <w:r w:rsidRPr="004C1E33">
        <w:t xml:space="preserve"> </w:t>
      </w:r>
      <w:r w:rsidR="004C1E33">
        <w:t xml:space="preserve">stormwater services, </w:t>
      </w:r>
      <w:r w:rsidR="00883A5C" w:rsidRPr="004C1E33">
        <w:t>w</w:t>
      </w:r>
      <w:r w:rsidRPr="004C1E33">
        <w:t xml:space="preserve">astewater </w:t>
      </w:r>
      <w:r w:rsidR="00883A5C" w:rsidRPr="004C1E33">
        <w:t>s</w:t>
      </w:r>
      <w:r w:rsidRPr="004C1E33">
        <w:t>ervices</w:t>
      </w:r>
      <w:r w:rsidR="007756F1">
        <w:t>, and growth studies</w:t>
      </w:r>
      <w:r w:rsidRPr="004C1E33">
        <w:t xml:space="preserve">.  </w:t>
      </w:r>
    </w:p>
    <w:p w14:paraId="23521002" w14:textId="1AEEB72F" w:rsidR="007756F1" w:rsidRDefault="007756F1" w:rsidP="002E2F9B">
      <w:pPr>
        <w:pStyle w:val="BodyText125"/>
      </w:pPr>
      <w:r>
        <w:t>As growth studies are no longer eligible under the D.C.A., it is recommended that the funds in the D.C. reserve fund for growth studies are transferred to a capital account for the same purpose and that the D.C. reserve fund for growth studies be closed.</w:t>
      </w:r>
    </w:p>
    <w:p w14:paraId="676EAC9E" w14:textId="169D1597" w:rsidR="002E2F9B" w:rsidRPr="00FB0B91" w:rsidRDefault="002E2F9B" w:rsidP="002E2F9B">
      <w:pPr>
        <w:pStyle w:val="BodyText125"/>
        <w:rPr>
          <w:b/>
          <w:bCs/>
          <w:i/>
          <w:iCs/>
        </w:rPr>
      </w:pPr>
      <w:r w:rsidRPr="004C1E33">
        <w:t xml:space="preserve">Appendix </w:t>
      </w:r>
      <w:r w:rsidR="004C1E33">
        <w:t>D</w:t>
      </w:r>
      <w:r w:rsidRPr="004C1E33">
        <w:t xml:space="preserve"> outlines the reserve fund policies that the </w:t>
      </w:r>
      <w:r w:rsidR="00A1355F" w:rsidRPr="004C1E33">
        <w:t>City</w:t>
      </w:r>
      <w:r w:rsidRPr="004C1E33">
        <w:t xml:space="preserve"> is required to follow as per the D.C.A.</w:t>
      </w:r>
      <w:r w:rsidRPr="00FB0B91">
        <w:t xml:space="preserve"> </w:t>
      </w:r>
    </w:p>
    <w:p w14:paraId="1BE10BB5" w14:textId="77777777" w:rsidR="002E2F9B" w:rsidRPr="00FB0B91" w:rsidRDefault="002E2F9B" w:rsidP="00B16524">
      <w:pPr>
        <w:pStyle w:val="Heading3"/>
        <w:numPr>
          <w:ilvl w:val="2"/>
          <w:numId w:val="3"/>
        </w:numPr>
      </w:pPr>
      <w:bookmarkStart w:id="392" w:name="_Toc494293042"/>
      <w:bookmarkStart w:id="393" w:name="_Toc520300781"/>
      <w:bookmarkStart w:id="394" w:name="_Toc520822977"/>
      <w:bookmarkStart w:id="395" w:name="_Toc520911022"/>
      <w:bookmarkStart w:id="396" w:name="_Toc520911403"/>
      <w:bookmarkStart w:id="397" w:name="_Toc154068803"/>
      <w:r w:rsidRPr="00FB0B91">
        <w:t>By-law In-force Date</w:t>
      </w:r>
      <w:bookmarkEnd w:id="392"/>
      <w:bookmarkEnd w:id="393"/>
      <w:bookmarkEnd w:id="394"/>
      <w:bookmarkEnd w:id="395"/>
      <w:bookmarkEnd w:id="396"/>
      <w:bookmarkEnd w:id="397"/>
    </w:p>
    <w:p w14:paraId="238ADE38" w14:textId="77777777" w:rsidR="002E2F9B" w:rsidRPr="00FB0B91" w:rsidRDefault="002E2F9B" w:rsidP="002E2F9B">
      <w:pPr>
        <w:pStyle w:val="BodyText125"/>
      </w:pPr>
      <w:r w:rsidRPr="00FB0B91">
        <w:t xml:space="preserve">A by-law under the </w:t>
      </w:r>
      <w:r>
        <w:t>D.C.A.</w:t>
      </w:r>
      <w:r w:rsidRPr="00FB0B91">
        <w:t xml:space="preserve"> comes into force on the day after which the by-law is passed by Council.</w:t>
      </w:r>
    </w:p>
    <w:p w14:paraId="217BDE6A" w14:textId="77777777" w:rsidR="002E2F9B" w:rsidRPr="00FB0B91" w:rsidRDefault="002E2F9B" w:rsidP="00B16524">
      <w:pPr>
        <w:pStyle w:val="Heading3"/>
        <w:numPr>
          <w:ilvl w:val="2"/>
          <w:numId w:val="3"/>
        </w:numPr>
        <w:ind w:left="720" w:hanging="720"/>
      </w:pPr>
      <w:bookmarkStart w:id="398" w:name="_Toc494293043"/>
      <w:bookmarkStart w:id="399" w:name="_Toc520300782"/>
      <w:bookmarkStart w:id="400" w:name="_Toc520822978"/>
      <w:bookmarkStart w:id="401" w:name="_Toc520911023"/>
      <w:bookmarkStart w:id="402" w:name="_Toc520911404"/>
      <w:bookmarkStart w:id="403" w:name="_Toc154068804"/>
      <w:r w:rsidRPr="00FB0B91">
        <w:t>Minimum Interest Rate Paid on Refunds and Charged for Inter-Reserve Fund Borrowing</w:t>
      </w:r>
      <w:bookmarkEnd w:id="398"/>
      <w:bookmarkEnd w:id="399"/>
      <w:bookmarkEnd w:id="400"/>
      <w:bookmarkEnd w:id="401"/>
      <w:bookmarkEnd w:id="402"/>
      <w:bookmarkEnd w:id="403"/>
    </w:p>
    <w:p w14:paraId="28105AB5" w14:textId="77777777" w:rsidR="002E2F9B" w:rsidRDefault="002E2F9B" w:rsidP="002E2F9B">
      <w:pPr>
        <w:pStyle w:val="BodyText125"/>
      </w:pPr>
      <w:r w:rsidRPr="00FB0B91">
        <w:t>The minimum interest rate is the Bank of Canada rate on the day on which the by-law comes into force (as per s</w:t>
      </w:r>
      <w:r w:rsidR="00E16E86">
        <w:t xml:space="preserve">ection </w:t>
      </w:r>
      <w:r w:rsidRPr="00FB0B91">
        <w:t xml:space="preserve">11 of </w:t>
      </w:r>
      <w:r w:rsidR="003B194A">
        <w:t>O.</w:t>
      </w:r>
      <w:r w:rsidR="003B194A">
        <w:rPr>
          <w:noProof/>
        </w:rPr>
        <w:t> </w:t>
      </w:r>
      <w:r w:rsidR="003B194A">
        <w:t>Reg</w:t>
      </w:r>
      <w:r w:rsidRPr="00FB0B91">
        <w:t>. 82/98).</w:t>
      </w:r>
    </w:p>
    <w:p w14:paraId="16748F33" w14:textId="77777777" w:rsidR="002E2F9B" w:rsidRPr="001B6843" w:rsidRDefault="002E2F9B" w:rsidP="00B16524">
      <w:pPr>
        <w:pStyle w:val="Heading3"/>
        <w:numPr>
          <w:ilvl w:val="2"/>
          <w:numId w:val="3"/>
        </w:numPr>
        <w:ind w:left="720" w:hanging="720"/>
      </w:pPr>
      <w:bookmarkStart w:id="404" w:name="_Toc491694863"/>
      <w:bookmarkStart w:id="405" w:name="_Toc494293044"/>
      <w:bookmarkStart w:id="406" w:name="_Toc520300783"/>
      <w:bookmarkStart w:id="407" w:name="_Toc520822979"/>
      <w:bookmarkStart w:id="408" w:name="_Toc520911024"/>
      <w:bookmarkStart w:id="409" w:name="_Toc520911405"/>
      <w:bookmarkStart w:id="410" w:name="_Toc154068805"/>
      <w:r>
        <w:t xml:space="preserve">Area </w:t>
      </w:r>
      <w:r w:rsidRPr="001B6843">
        <w:t>Rating</w:t>
      </w:r>
      <w:bookmarkEnd w:id="404"/>
      <w:bookmarkEnd w:id="405"/>
      <w:bookmarkEnd w:id="406"/>
      <w:bookmarkEnd w:id="407"/>
      <w:bookmarkEnd w:id="408"/>
      <w:bookmarkEnd w:id="409"/>
      <w:bookmarkEnd w:id="410"/>
    </w:p>
    <w:p w14:paraId="10A648E9" w14:textId="684F9074" w:rsidR="002E2F9B" w:rsidRPr="001B6843" w:rsidRDefault="001B6843" w:rsidP="002E2F9B">
      <w:pPr>
        <w:pStyle w:val="BodyText125"/>
      </w:pPr>
      <w:r w:rsidRPr="001B6843">
        <w:t>The D.C.A. required that Council must consider the use of area specific charges</w:t>
      </w:r>
      <w:r w:rsidR="002E2F9B" w:rsidRPr="001B6843">
        <w:t>:</w:t>
      </w:r>
    </w:p>
    <w:p w14:paraId="5647BAA8" w14:textId="77777777" w:rsidR="002E2F9B" w:rsidRPr="001B6843" w:rsidRDefault="002E2F9B" w:rsidP="00F43901">
      <w:pPr>
        <w:pStyle w:val="BodyText125"/>
        <w:numPr>
          <w:ilvl w:val="0"/>
          <w:numId w:val="18"/>
        </w:numPr>
      </w:pPr>
      <w:r w:rsidRPr="001B6843">
        <w:t>Section 2</w:t>
      </w:r>
      <w:r w:rsidR="00825E04" w:rsidRPr="001B6843">
        <w:t xml:space="preserve"> </w:t>
      </w:r>
      <w:r w:rsidRPr="001B6843">
        <w:t xml:space="preserve">(9) of the </w:t>
      </w:r>
      <w:r w:rsidR="00B90C92" w:rsidRPr="001B6843">
        <w:t>D.C.A.</w:t>
      </w:r>
      <w:r w:rsidRPr="001B6843">
        <w:t xml:space="preserve"> now requires a municipality to implement area-specific D.C.s for either specific services which are prescribed and/or for specific municipalities which are to be regulated (note that at this time, no municipalities or services are prescribed by the </w:t>
      </w:r>
      <w:r w:rsidR="008205BE" w:rsidRPr="001B6843">
        <w:t>regulation</w:t>
      </w:r>
      <w:r w:rsidRPr="001B6843">
        <w:t>s)</w:t>
      </w:r>
      <w:r w:rsidR="006E3CA8" w:rsidRPr="001B6843">
        <w:t>.</w:t>
      </w:r>
    </w:p>
    <w:p w14:paraId="18D098B9" w14:textId="77777777" w:rsidR="002E2F9B" w:rsidRPr="001B6843" w:rsidRDefault="002E2F9B" w:rsidP="00F43901">
      <w:pPr>
        <w:pStyle w:val="BodyText125"/>
        <w:numPr>
          <w:ilvl w:val="0"/>
          <w:numId w:val="18"/>
        </w:numPr>
      </w:pPr>
      <w:r w:rsidRPr="001B6843">
        <w:t>Section 10</w:t>
      </w:r>
      <w:r w:rsidR="00825E04" w:rsidRPr="001B6843">
        <w:t xml:space="preserve"> </w:t>
      </w:r>
      <w:r w:rsidRPr="001B6843">
        <w:t>(2)</w:t>
      </w:r>
      <w:r w:rsidR="00825E04" w:rsidRPr="001B6843">
        <w:t xml:space="preserve"> </w:t>
      </w:r>
      <w:r w:rsidRPr="001B6843">
        <w:t>c.1 of the D.C.A. requires that “the development charges background study shall include consideration of the use of more than one development charge by-law to reflect different needs for services in different areas.”</w:t>
      </w:r>
    </w:p>
    <w:p w14:paraId="157FB4F2" w14:textId="77777777" w:rsidR="002E2F9B" w:rsidRPr="001B6843" w:rsidRDefault="002E2F9B" w:rsidP="002E2F9B">
      <w:pPr>
        <w:pStyle w:val="BodyText125"/>
      </w:pPr>
      <w:r w:rsidRPr="001B6843">
        <w:t>In regard to the first item, there are no services or specific municipalities identified in the regulations which must be area</w:t>
      </w:r>
      <w:r w:rsidR="008205BE" w:rsidRPr="001B6843">
        <w:t xml:space="preserve"> </w:t>
      </w:r>
      <w:r w:rsidRPr="001B6843">
        <w:t>rated.  The second item requires Council to consider the use of area</w:t>
      </w:r>
      <w:r w:rsidR="008205BE" w:rsidRPr="001B6843">
        <w:t xml:space="preserve"> </w:t>
      </w:r>
      <w:r w:rsidRPr="001B6843">
        <w:t>rating.</w:t>
      </w:r>
    </w:p>
    <w:p w14:paraId="5F4D632E" w14:textId="45F46F30" w:rsidR="002E2F9B" w:rsidRPr="001B6843" w:rsidRDefault="001B6843" w:rsidP="002E2F9B">
      <w:pPr>
        <w:pStyle w:val="BodyText125"/>
      </w:pPr>
      <w:r w:rsidRPr="001B6843">
        <w:t>Currently</w:t>
      </w:r>
      <w:r w:rsidR="002E2F9B" w:rsidRPr="001B6843">
        <w:t xml:space="preserve">, the </w:t>
      </w:r>
      <w:r w:rsidR="00A1355F" w:rsidRPr="001B6843">
        <w:t>City</w:t>
      </w:r>
      <w:r w:rsidR="002E2F9B" w:rsidRPr="001B6843">
        <w:t>’s by-law provide</w:t>
      </w:r>
      <w:r w:rsidRPr="001B6843">
        <w:t>s for water, wastewater and stormwater services on an urban</w:t>
      </w:r>
      <w:r w:rsidR="002E2F9B" w:rsidRPr="001B6843">
        <w:t xml:space="preserve"> area</w:t>
      </w:r>
      <w:r w:rsidR="008205BE" w:rsidRPr="001B6843">
        <w:t xml:space="preserve"> </w:t>
      </w:r>
      <w:r w:rsidRPr="001B6843">
        <w:t>basis</w:t>
      </w:r>
      <w:r w:rsidR="002E2F9B" w:rsidRPr="001B6843">
        <w:t xml:space="preserve">.  All </w:t>
      </w:r>
      <w:r w:rsidRPr="001B6843">
        <w:t xml:space="preserve">other services </w:t>
      </w:r>
      <w:r w:rsidR="002E2F9B" w:rsidRPr="001B6843">
        <w:t xml:space="preserve">are recovered based on a uniform, </w:t>
      </w:r>
      <w:r w:rsidR="00A1355F" w:rsidRPr="001B6843">
        <w:t>City</w:t>
      </w:r>
      <w:r w:rsidR="002E2F9B" w:rsidRPr="001B6843">
        <w:t xml:space="preserve">-wide basis.  There have been several reasons why </w:t>
      </w:r>
      <w:r w:rsidRPr="001B6843">
        <w:t xml:space="preserve">area-rating has </w:t>
      </w:r>
      <w:r w:rsidR="002E2F9B" w:rsidRPr="001B6843">
        <w:t>not been imposed</w:t>
      </w:r>
      <w:r w:rsidRPr="001B6843">
        <w:t xml:space="preserve"> on these services, including:</w:t>
      </w:r>
    </w:p>
    <w:p w14:paraId="36E2CF8D" w14:textId="135B9810" w:rsidR="002E2F9B" w:rsidRPr="001B6843" w:rsidRDefault="002E2F9B" w:rsidP="00F43901">
      <w:pPr>
        <w:pStyle w:val="BodyText125"/>
        <w:numPr>
          <w:ilvl w:val="0"/>
          <w:numId w:val="19"/>
        </w:numPr>
      </w:pPr>
      <w:r w:rsidRPr="001B6843">
        <w:t xml:space="preserve">All </w:t>
      </w:r>
      <w:r w:rsidR="00A1355F" w:rsidRPr="001B6843">
        <w:t>City</w:t>
      </w:r>
      <w:r w:rsidRPr="001B6843">
        <w:t xml:space="preserve"> services, with the exception of water, wastewater</w:t>
      </w:r>
      <w:r w:rsidR="00B90C92" w:rsidRPr="001B6843">
        <w:t>,</w:t>
      </w:r>
      <w:r w:rsidRPr="001B6843">
        <w:t xml:space="preserve"> and stormwater, require that the average 10-year service standard be calculated.  This average service standard</w:t>
      </w:r>
      <w:r w:rsidR="008205BE" w:rsidRPr="001B6843">
        <w:t>,</w:t>
      </w:r>
      <w:r w:rsidRPr="001B6843">
        <w:t xml:space="preserve"> multiplied by growth in the </w:t>
      </w:r>
      <w:r w:rsidR="00A1355F" w:rsidRPr="001B6843">
        <w:t>City</w:t>
      </w:r>
      <w:r w:rsidRPr="001B6843">
        <w:t xml:space="preserve">, establishes an upper ceiling on the amount of funds </w:t>
      </w:r>
      <w:r w:rsidR="008205BE" w:rsidRPr="001B6843">
        <w:t>that</w:t>
      </w:r>
      <w:r w:rsidRPr="001B6843">
        <w:t xml:space="preserve"> can be collected from all developing landowners.  Section 4</w:t>
      </w:r>
      <w:r w:rsidR="00825E04" w:rsidRPr="001B6843">
        <w:t xml:space="preserve"> </w:t>
      </w:r>
      <w:r w:rsidRPr="001B6843">
        <w:t xml:space="preserve">(4) of </w:t>
      </w:r>
      <w:r w:rsidR="003B194A" w:rsidRPr="001B6843">
        <w:t>O.</w:t>
      </w:r>
      <w:r w:rsidR="003B194A" w:rsidRPr="001B6843">
        <w:rPr>
          <w:noProof/>
        </w:rPr>
        <w:t> </w:t>
      </w:r>
      <w:r w:rsidR="003B194A" w:rsidRPr="001B6843">
        <w:t>Reg</w:t>
      </w:r>
      <w:r w:rsidRPr="001B6843">
        <w:t>. 82/98 provides that “</w:t>
      </w:r>
      <w:r w:rsidR="007F7A09" w:rsidRPr="001B6843">
        <w:t>i</w:t>
      </w:r>
      <w:r w:rsidRPr="001B6843">
        <w:t>f a development charge by-law applies to a part of the municipality, the level of service and average level of service cannot exceed that which would be determined if the by-law applied to the whole municipality.”  Put in layman terms, the average service standard multiplied by the growth within the specific area would establish an area</w:t>
      </w:r>
      <w:r w:rsidR="008205BE" w:rsidRPr="001B6843">
        <w:t>-</w:t>
      </w:r>
      <w:r w:rsidRPr="001B6843">
        <w:t xml:space="preserve">specific ceiling which would significantly reduce the total revenue recoverable for the </w:t>
      </w:r>
      <w:r w:rsidR="00A1355F" w:rsidRPr="001B6843">
        <w:t>City</w:t>
      </w:r>
      <w:r w:rsidR="008205BE" w:rsidRPr="001B6843">
        <w:t>,</w:t>
      </w:r>
      <w:r w:rsidRPr="001B6843">
        <w:t xml:space="preserve"> hence potentially resulting in D.C. revenue shortfalls and impacts on property taxes.</w:t>
      </w:r>
    </w:p>
    <w:p w14:paraId="36412705" w14:textId="6707BA14" w:rsidR="002E2F9B" w:rsidRPr="001B6843" w:rsidRDefault="002E2F9B" w:rsidP="00F43901">
      <w:pPr>
        <w:pStyle w:val="BodyText125"/>
        <w:numPr>
          <w:ilvl w:val="0"/>
          <w:numId w:val="19"/>
        </w:numPr>
      </w:pPr>
      <w:r w:rsidRPr="001B6843">
        <w:t xml:space="preserve">Extending on item 1, attempting to impose an area charge potentially causes equity issues in transitioning from a </w:t>
      </w:r>
      <w:r w:rsidR="00A1355F" w:rsidRPr="001B6843">
        <w:t>City</w:t>
      </w:r>
      <w:r w:rsidRPr="001B6843">
        <w:t>-wide approach to an area</w:t>
      </w:r>
      <w:r w:rsidR="00B90C92" w:rsidRPr="001B6843">
        <w:t>-</w:t>
      </w:r>
      <w:r w:rsidRPr="001B6843">
        <w:t xml:space="preserve">specific approach.  For example, if all services were now built (and funded) within </w:t>
      </w:r>
      <w:r w:rsidR="00123401" w:rsidRPr="001B6843">
        <w:t>A</w:t>
      </w:r>
      <w:r w:rsidRPr="001B6843">
        <w:t xml:space="preserve">rea A (which is 75% built out) and this was funded with some revenues from </w:t>
      </w:r>
      <w:r w:rsidR="00123401" w:rsidRPr="001B6843">
        <w:t>A</w:t>
      </w:r>
      <w:r w:rsidRPr="001B6843">
        <w:t xml:space="preserve">reas B and C, moving to an area rating approach would see Area A contribute no funds to the costs of services in Areas B </w:t>
      </w:r>
      <w:r w:rsidR="00123401" w:rsidRPr="001B6843">
        <w:t xml:space="preserve">and </w:t>
      </w:r>
      <w:r w:rsidRPr="001B6843">
        <w:t xml:space="preserve">C.  The </w:t>
      </w:r>
      <w:r w:rsidR="00B90C92" w:rsidRPr="001B6843">
        <w:t>D.C.s</w:t>
      </w:r>
      <w:r w:rsidRPr="001B6843">
        <w:t xml:space="preserve"> would be lower in Area A (as all services are now funded) and higher in</w:t>
      </w:r>
      <w:r w:rsidR="00123401" w:rsidRPr="001B6843">
        <w:t xml:space="preserve"> Areas</w:t>
      </w:r>
      <w:r w:rsidRPr="001B6843">
        <w:t xml:space="preserve"> B and C.  As well, funding shortfalls may then potentially encourage the municipality to provide less services to</w:t>
      </w:r>
      <w:r w:rsidR="00123401" w:rsidRPr="001B6843">
        <w:t xml:space="preserve"> Areas</w:t>
      </w:r>
      <w:r w:rsidRPr="001B6843">
        <w:t xml:space="preserve"> B and C due to reduced revenue.</w:t>
      </w:r>
    </w:p>
    <w:p w14:paraId="7C82B9A3" w14:textId="2DB8AAF3" w:rsidR="002E2F9B" w:rsidRPr="001B6843" w:rsidRDefault="002E2F9B" w:rsidP="00F43901">
      <w:pPr>
        <w:pStyle w:val="BodyText125"/>
        <w:numPr>
          <w:ilvl w:val="0"/>
          <w:numId w:val="19"/>
        </w:numPr>
      </w:pPr>
      <w:r w:rsidRPr="001B6843">
        <w:t xml:space="preserve">Many services provided (roads, parks, recreation facilities, library) are not restricted to one specific area and are often used by all residents.  For example, arenas located in different parts of the </w:t>
      </w:r>
      <w:r w:rsidR="00A1355F" w:rsidRPr="001B6843">
        <w:t>City</w:t>
      </w:r>
      <w:r w:rsidRPr="001B6843">
        <w:t xml:space="preserve"> will be used by residents from all areas depending on the program</w:t>
      </w:r>
      <w:r w:rsidR="008205BE" w:rsidRPr="001B6843">
        <w:t>m</w:t>
      </w:r>
      <w:r w:rsidRPr="001B6843">
        <w:t>ing of the facility (i.e. a public skate is available each night, but at a different arena; hence usage of any one facility at any given time is based on program</w:t>
      </w:r>
      <w:r w:rsidR="008205BE" w:rsidRPr="001B6843">
        <w:t>m</w:t>
      </w:r>
      <w:r w:rsidRPr="001B6843">
        <w:t xml:space="preserve">ing availability). </w:t>
      </w:r>
    </w:p>
    <w:p w14:paraId="3E18A5B7" w14:textId="7425CE3A" w:rsidR="002E2F9B" w:rsidRPr="00FB0B91" w:rsidRDefault="002E2F9B" w:rsidP="002E2F9B">
      <w:pPr>
        <w:pStyle w:val="BodyText125"/>
      </w:pPr>
      <w:r w:rsidRPr="001B6843">
        <w:t xml:space="preserve">For the reasons noted above, it is recommended that Council continue the D.C. approach to calculate the charges on a uniform </w:t>
      </w:r>
      <w:r w:rsidR="00A1355F" w:rsidRPr="001B6843">
        <w:t>City</w:t>
      </w:r>
      <w:r w:rsidRPr="001B6843">
        <w:t>-wide basis</w:t>
      </w:r>
      <w:r w:rsidR="001B6843">
        <w:t xml:space="preserve"> for all services/classes of services other than water, wastewater and stormwater, which are recommended to be imposed on an urban area basis.</w:t>
      </w:r>
    </w:p>
    <w:p w14:paraId="529A2EED" w14:textId="77777777" w:rsidR="002E2F9B" w:rsidRPr="00FB0B91" w:rsidRDefault="002E2F9B" w:rsidP="00B16524">
      <w:pPr>
        <w:pStyle w:val="Heading2"/>
        <w:numPr>
          <w:ilvl w:val="1"/>
          <w:numId w:val="3"/>
        </w:numPr>
      </w:pPr>
      <w:bookmarkStart w:id="411" w:name="_Toc494293045"/>
      <w:bookmarkStart w:id="412" w:name="_Toc520300784"/>
      <w:bookmarkStart w:id="413" w:name="_Toc520822980"/>
      <w:bookmarkStart w:id="414" w:name="_Toc520911025"/>
      <w:bookmarkStart w:id="415" w:name="_Toc520911406"/>
      <w:bookmarkStart w:id="416" w:name="_Toc154068806"/>
      <w:r w:rsidRPr="00FB0B91">
        <w:t>Other Recommendations</w:t>
      </w:r>
      <w:bookmarkEnd w:id="411"/>
      <w:bookmarkEnd w:id="412"/>
      <w:bookmarkEnd w:id="413"/>
      <w:bookmarkEnd w:id="414"/>
      <w:bookmarkEnd w:id="415"/>
      <w:bookmarkEnd w:id="416"/>
    </w:p>
    <w:p w14:paraId="000724F3" w14:textId="77777777" w:rsidR="002E2F9B" w:rsidRPr="002E2F9B" w:rsidRDefault="002E2F9B" w:rsidP="002E2F9B">
      <w:pPr>
        <w:pStyle w:val="BodyText125"/>
        <w:rPr>
          <w:b/>
        </w:rPr>
      </w:pPr>
      <w:r w:rsidRPr="002E2F9B">
        <w:rPr>
          <w:b/>
        </w:rPr>
        <w:t>It is recommended that Council:</w:t>
      </w:r>
    </w:p>
    <w:p w14:paraId="2D213281" w14:textId="77777777" w:rsidR="002E2F9B" w:rsidRPr="00FB0B91" w:rsidRDefault="002E2F9B" w:rsidP="00B16524">
      <w:pPr>
        <w:pStyle w:val="BodyText125"/>
        <w:ind w:left="720"/>
      </w:pPr>
      <w:r w:rsidRPr="00FB0B91">
        <w:t>“Whenever appropriate, request that grants, subsidies and other contributions be clearly designated by the donor as being to the benefit of existing development or new development, as applicable;”</w:t>
      </w:r>
    </w:p>
    <w:p w14:paraId="6D9B497E" w14:textId="77777777" w:rsidR="002E2F9B" w:rsidRPr="00B90285" w:rsidRDefault="002E2F9B" w:rsidP="00B16524">
      <w:pPr>
        <w:pStyle w:val="BodyText125"/>
        <w:ind w:left="720"/>
      </w:pPr>
      <w:r w:rsidRPr="00FB0B91">
        <w:t xml:space="preserve">“Adopt the assumptions contained herein as an ‘anticipation’ with respect to </w:t>
      </w:r>
      <w:r w:rsidRPr="00B90285">
        <w:t xml:space="preserve">capital grants, subsidies and other contributions;” </w:t>
      </w:r>
    </w:p>
    <w:p w14:paraId="795F4AF3" w14:textId="5110F735" w:rsidR="002E2F9B" w:rsidRDefault="002E2F9B" w:rsidP="00B16524">
      <w:pPr>
        <w:pStyle w:val="BodyText125"/>
        <w:ind w:left="720"/>
      </w:pPr>
      <w:r w:rsidRPr="00AF3F46">
        <w:t xml:space="preserve">“Continue the D.C. approach to calculate the charges on a uniform </w:t>
      </w:r>
      <w:r w:rsidR="00A1355F" w:rsidRPr="00AF3F46">
        <w:t>City</w:t>
      </w:r>
      <w:r w:rsidRPr="00AF3F46">
        <w:t xml:space="preserve">-wide basis for all services </w:t>
      </w:r>
      <w:r w:rsidR="00B90285" w:rsidRPr="00AF3F46">
        <w:t xml:space="preserve">except water, wastewater, and stormwater </w:t>
      </w:r>
      <w:r w:rsidRPr="00AF3F46">
        <w:t>and on a</w:t>
      </w:r>
      <w:r w:rsidR="00B90285" w:rsidRPr="00AF3F46">
        <w:t>n</w:t>
      </w:r>
      <w:r w:rsidRPr="00AF3F46">
        <w:t xml:space="preserve"> urban-area basis for water</w:t>
      </w:r>
      <w:r w:rsidR="00B90285" w:rsidRPr="00AF3F46">
        <w:t>, wastewater</w:t>
      </w:r>
      <w:r w:rsidRPr="00AF3F46">
        <w:t xml:space="preserve"> and </w:t>
      </w:r>
      <w:r w:rsidR="00B90285" w:rsidRPr="00AF3F46">
        <w:t>storm</w:t>
      </w:r>
      <w:r w:rsidRPr="00AF3F46">
        <w:t>water services</w:t>
      </w:r>
      <w:r w:rsidR="006E3CA8" w:rsidRPr="00AF3F46">
        <w:t>;</w:t>
      </w:r>
      <w:r w:rsidRPr="00AF3F46">
        <w:t>”</w:t>
      </w:r>
      <w:r w:rsidRPr="00FB0B91">
        <w:t xml:space="preserve"> </w:t>
      </w:r>
    </w:p>
    <w:p w14:paraId="57CB46EF" w14:textId="3FEFF899" w:rsidR="002E2F9B" w:rsidRPr="00FB0B91" w:rsidRDefault="002E2F9B" w:rsidP="00B16524">
      <w:pPr>
        <w:pStyle w:val="BodyText125"/>
        <w:ind w:left="720"/>
      </w:pPr>
      <w:r w:rsidRPr="007756F1">
        <w:t xml:space="preserve">“Approve the capital project listing set out in Chapter 5 of the D.C.s Background Study dated </w:t>
      </w:r>
      <w:r w:rsidR="007756F1" w:rsidRPr="007756F1">
        <w:t>December 22</w:t>
      </w:r>
      <w:r w:rsidRPr="007756F1">
        <w:t>,</w:t>
      </w:r>
      <w:r w:rsidR="00B90285">
        <w:t xml:space="preserve"> 2023</w:t>
      </w:r>
      <w:r w:rsidRPr="00FB0B91">
        <w:t xml:space="preserve"> subject to further annual review during the capital budget process;” </w:t>
      </w:r>
    </w:p>
    <w:p w14:paraId="2C6D2601" w14:textId="16D57C75" w:rsidR="002E2F9B" w:rsidRPr="00FB0B91" w:rsidRDefault="002E2F9B" w:rsidP="00B16524">
      <w:pPr>
        <w:pStyle w:val="BodyText125"/>
        <w:ind w:left="720"/>
      </w:pPr>
      <w:r w:rsidRPr="007756F1">
        <w:t xml:space="preserve">“Approve the D.C.s Background Study dated </w:t>
      </w:r>
      <w:r w:rsidR="007756F1" w:rsidRPr="007756F1">
        <w:t>December 22</w:t>
      </w:r>
      <w:r w:rsidRPr="007756F1">
        <w:t>,</w:t>
      </w:r>
      <w:r w:rsidR="00B90285">
        <w:t xml:space="preserve"> 2023</w:t>
      </w:r>
      <w:r w:rsidRPr="00FB0B91">
        <w:t xml:space="preserve"> as amended (if applicable);"</w:t>
      </w:r>
    </w:p>
    <w:p w14:paraId="7257AC68" w14:textId="77777777" w:rsidR="002E2F9B" w:rsidRPr="00FB0B91" w:rsidRDefault="002E2F9B" w:rsidP="00B16524">
      <w:pPr>
        <w:pStyle w:val="BodyText125"/>
        <w:ind w:left="720"/>
      </w:pPr>
      <w:r w:rsidRPr="00FB0B91">
        <w:t>“Determine that no further public meeting is required;” and</w:t>
      </w:r>
    </w:p>
    <w:p w14:paraId="287E0CE4" w14:textId="293829CD" w:rsidR="00821EDC" w:rsidRDefault="002E2F9B" w:rsidP="00B16524">
      <w:pPr>
        <w:pStyle w:val="BodyText125"/>
        <w:ind w:left="720"/>
        <w:rPr>
          <w:noProof/>
        </w:rPr>
        <w:sectPr w:rsidR="00821EDC" w:rsidSect="00CE12B2">
          <w:footerReference w:type="default" r:id="rId83"/>
          <w:footerReference w:type="first" r:id="rId84"/>
          <w:footnotePr>
            <w:numRestart w:val="eachPage"/>
          </w:footnotePr>
          <w:pgSz w:w="12240" w:h="15840" w:code="1"/>
          <w:pgMar w:top="1440" w:right="1440" w:bottom="1440" w:left="1440" w:header="432" w:footer="619" w:gutter="0"/>
          <w:pgNumType w:start="1" w:chapStyle="1"/>
          <w:cols w:space="708"/>
          <w:titlePg/>
          <w:docGrid w:linePitch="360"/>
        </w:sectPr>
      </w:pPr>
      <w:r w:rsidRPr="00FB0B91">
        <w:t xml:space="preserve">“Approve the </w:t>
      </w:r>
      <w:r>
        <w:t>D.C.</w:t>
      </w:r>
      <w:r w:rsidRPr="00FB0B91">
        <w:t xml:space="preserve"> By-law</w:t>
      </w:r>
      <w:r w:rsidR="00AF3F46">
        <w:t>s</w:t>
      </w:r>
      <w:r w:rsidRPr="00FB0B91">
        <w:t xml:space="preserve"> </w:t>
      </w:r>
      <w:r w:rsidR="00AF3F46">
        <w:t xml:space="preserve">for each D.C. service as </w:t>
      </w:r>
      <w:r w:rsidRPr="00FB0B91">
        <w:t xml:space="preserve">set out in Appendix </w:t>
      </w:r>
      <w:r w:rsidR="00B90285">
        <w:t>G</w:t>
      </w:r>
      <w:r w:rsidRPr="00FB0B91">
        <w:t>.”</w:t>
      </w:r>
      <w:r w:rsidRPr="00174968">
        <w:rPr>
          <w:noProof/>
        </w:rPr>
        <w:t xml:space="preserve"> </w:t>
      </w:r>
    </w:p>
    <w:p w14:paraId="06C14B17" w14:textId="77777777" w:rsidR="002E2F9B" w:rsidRPr="00174968" w:rsidRDefault="00821EDC" w:rsidP="006A7162">
      <w:pPr>
        <w:pStyle w:val="ChapterDividers"/>
        <w:sectPr w:rsidR="002E2F9B" w:rsidRPr="00174968" w:rsidSect="00CE12B2">
          <w:footerReference w:type="default" r:id="rId85"/>
          <w:footerReference w:type="first" r:id="rId86"/>
          <w:footnotePr>
            <w:numRestart w:val="eachPage"/>
          </w:footnotePr>
          <w:pgSz w:w="12240" w:h="15840" w:code="1"/>
          <w:pgMar w:top="1440" w:right="1440" w:bottom="1440" w:left="1440" w:header="432" w:footer="619" w:gutter="0"/>
          <w:pgNumType w:start="1" w:chapStyle="1"/>
          <w:cols w:space="708"/>
          <w:titlePg/>
          <w:docGrid w:linePitch="360"/>
        </w:sectPr>
      </w:pPr>
      <w:bookmarkStart w:id="417" w:name="_Toc520822981"/>
      <w:bookmarkStart w:id="418" w:name="_Toc520911026"/>
      <w:bookmarkStart w:id="419" w:name="_Toc520911407"/>
      <w:r>
        <w:t>Chapter 8</w:t>
      </w:r>
      <w:r w:rsidR="00620725">
        <w:t xml:space="preserve"> </w:t>
      </w:r>
      <w:r w:rsidR="00620725">
        <w:br/>
      </w:r>
      <w:r w:rsidRPr="00DC5440">
        <w:rPr>
          <w:rStyle w:val="ChapterDividersTitleChar"/>
          <w:color w:val="000000"/>
        </w:rPr>
        <w:t>By-law Implementation</w:t>
      </w:r>
      <w:bookmarkEnd w:id="417"/>
      <w:bookmarkEnd w:id="418"/>
      <w:bookmarkEnd w:id="419"/>
    </w:p>
    <w:p w14:paraId="406A770A" w14:textId="77777777" w:rsidR="005C382D" w:rsidRPr="00174968" w:rsidRDefault="00B74F67" w:rsidP="00F5670B">
      <w:pPr>
        <w:pStyle w:val="Heading1"/>
        <w:rPr>
          <w:noProof/>
        </w:rPr>
      </w:pPr>
      <w:bookmarkStart w:id="420" w:name="_Toc520822982"/>
      <w:bookmarkStart w:id="421" w:name="_Toc520911027"/>
      <w:bookmarkStart w:id="422" w:name="_Toc520911408"/>
      <w:bookmarkStart w:id="423" w:name="_Toc154068807"/>
      <w:r>
        <w:rPr>
          <w:noProof/>
        </w:rPr>
        <w:t>By-law Implementation</w:t>
      </w:r>
      <w:bookmarkEnd w:id="420"/>
      <w:bookmarkEnd w:id="421"/>
      <w:bookmarkEnd w:id="422"/>
      <w:bookmarkEnd w:id="423"/>
    </w:p>
    <w:p w14:paraId="4F6591A0" w14:textId="77777777" w:rsidR="00B74F67" w:rsidRPr="00982558" w:rsidRDefault="005C382D" w:rsidP="00B74F67">
      <w:pPr>
        <w:pStyle w:val="Heading2"/>
      </w:pPr>
      <w:r w:rsidRPr="00174968">
        <w:rPr>
          <w:noProof/>
        </w:rPr>
        <w:t xml:space="preserve"> </w:t>
      </w:r>
      <w:bookmarkStart w:id="424" w:name="_Toc494293047"/>
      <w:bookmarkStart w:id="425" w:name="_Toc520300787"/>
      <w:bookmarkStart w:id="426" w:name="_Toc520822983"/>
      <w:bookmarkStart w:id="427" w:name="_Toc520911028"/>
      <w:bookmarkStart w:id="428" w:name="_Toc520911409"/>
      <w:bookmarkStart w:id="429" w:name="_Toc154068808"/>
      <w:r w:rsidR="00B74F67" w:rsidRPr="00982558">
        <w:t>Public Consultation Process</w:t>
      </w:r>
      <w:bookmarkEnd w:id="424"/>
      <w:bookmarkEnd w:id="425"/>
      <w:bookmarkEnd w:id="426"/>
      <w:bookmarkEnd w:id="427"/>
      <w:bookmarkEnd w:id="428"/>
      <w:bookmarkEnd w:id="429"/>
    </w:p>
    <w:p w14:paraId="06907C8C" w14:textId="77777777" w:rsidR="00B74F67" w:rsidRPr="00982558" w:rsidRDefault="00B74F67" w:rsidP="00B74F67">
      <w:pPr>
        <w:pStyle w:val="Heading3"/>
      </w:pPr>
      <w:bookmarkStart w:id="430" w:name="_Toc494293048"/>
      <w:bookmarkStart w:id="431" w:name="_Toc520300788"/>
      <w:bookmarkStart w:id="432" w:name="_Toc520822984"/>
      <w:bookmarkStart w:id="433" w:name="_Toc520911029"/>
      <w:bookmarkStart w:id="434" w:name="_Toc520911410"/>
      <w:bookmarkStart w:id="435" w:name="_Toc154068809"/>
      <w:r>
        <w:t>I</w:t>
      </w:r>
      <w:r w:rsidRPr="00982558">
        <w:t>ntroduction</w:t>
      </w:r>
      <w:bookmarkEnd w:id="430"/>
      <w:bookmarkEnd w:id="431"/>
      <w:bookmarkEnd w:id="432"/>
      <w:bookmarkEnd w:id="433"/>
      <w:bookmarkEnd w:id="434"/>
      <w:bookmarkEnd w:id="435"/>
    </w:p>
    <w:p w14:paraId="7006BD08" w14:textId="3FB86809" w:rsidR="00B74F67" w:rsidRPr="00982558" w:rsidRDefault="00B74F67" w:rsidP="00B74F67">
      <w:pPr>
        <w:pStyle w:val="BodyText125"/>
      </w:pPr>
      <w:r w:rsidRPr="00982558">
        <w:t>This chapter addresses the mandatory, formal public consultation process (</w:t>
      </w:r>
      <w:r w:rsidR="00825E04">
        <w:t>s</w:t>
      </w:r>
      <w:r w:rsidRPr="00982558">
        <w:t>ection 8.1.2), as well as the optional, informal consultation process (</w:t>
      </w:r>
      <w:r w:rsidR="00825E04">
        <w:t>s</w:t>
      </w:r>
      <w:r w:rsidRPr="00982558">
        <w:t>ection 8.1.3).  The latter is designed to seek the co-operation and participation of those involved, in order to produce the most suitable policy.  Section 8.</w:t>
      </w:r>
      <w:r w:rsidR="00387A9B">
        <w:t>2</w:t>
      </w:r>
      <w:r w:rsidRPr="00982558">
        <w:t xml:space="preserve"> addresses the anticipated impact of the </w:t>
      </w:r>
      <w:r>
        <w:t>D.C.</w:t>
      </w:r>
      <w:r w:rsidRPr="00982558">
        <w:t xml:space="preserve"> on development from a generic viewpoint.</w:t>
      </w:r>
    </w:p>
    <w:p w14:paraId="4D8EC242" w14:textId="77777777" w:rsidR="00B74F67" w:rsidRPr="00982558" w:rsidRDefault="00B74F67" w:rsidP="00B74F67">
      <w:pPr>
        <w:pStyle w:val="Heading3"/>
        <w:rPr>
          <w:szCs w:val="17"/>
        </w:rPr>
      </w:pPr>
      <w:bookmarkStart w:id="436" w:name="_Toc494293049"/>
      <w:bookmarkStart w:id="437" w:name="_Toc520300789"/>
      <w:bookmarkStart w:id="438" w:name="_Toc520822985"/>
      <w:bookmarkStart w:id="439" w:name="_Toc520911030"/>
      <w:bookmarkStart w:id="440" w:name="_Toc520911411"/>
      <w:bookmarkStart w:id="441" w:name="_Toc154068810"/>
      <w:r>
        <w:t>P</w:t>
      </w:r>
      <w:r w:rsidRPr="00982558">
        <w:t>ublic Meeting of Council</w:t>
      </w:r>
      <w:bookmarkEnd w:id="436"/>
      <w:bookmarkEnd w:id="437"/>
      <w:bookmarkEnd w:id="438"/>
      <w:bookmarkEnd w:id="439"/>
      <w:bookmarkEnd w:id="440"/>
      <w:bookmarkEnd w:id="441"/>
      <w:r w:rsidRPr="00982558">
        <w:tab/>
      </w:r>
    </w:p>
    <w:p w14:paraId="78BF3C9C" w14:textId="77777777" w:rsidR="00B74F67" w:rsidRPr="00982558" w:rsidRDefault="00B74F67" w:rsidP="00B74F67">
      <w:pPr>
        <w:pStyle w:val="BodyText125"/>
      </w:pPr>
      <w:r w:rsidRPr="00982558">
        <w:t xml:space="preserve">Section 12 of the </w:t>
      </w:r>
      <w:r>
        <w:t>D.C.A.</w:t>
      </w:r>
      <w:r w:rsidRPr="00982558">
        <w:t xml:space="preserve"> indicates that before passing a </w:t>
      </w:r>
      <w:r>
        <w:t>D.C.</w:t>
      </w:r>
      <w:r w:rsidRPr="00982558">
        <w:t xml:space="preserve"> by-law, Council must hold at least one public meeting, giving at least 20 clear days’ notice thereof, in accordance with the </w:t>
      </w:r>
      <w:r w:rsidR="008205BE">
        <w:t>regulation</w:t>
      </w:r>
      <w:r w:rsidRPr="00982558">
        <w:t>.  Council must also ensure that the proposed by-law and background report are made available to the public at least two weeks prior to the (first) meeting.</w:t>
      </w:r>
    </w:p>
    <w:p w14:paraId="5B851652" w14:textId="77777777" w:rsidR="00B74F67" w:rsidRPr="00982558" w:rsidRDefault="00B74F67" w:rsidP="00B74F67">
      <w:pPr>
        <w:pStyle w:val="BodyText125"/>
      </w:pPr>
      <w:r w:rsidRPr="00982558">
        <w:t>Any person who attends such a meeting may make representations related to the proposed by-law.</w:t>
      </w:r>
    </w:p>
    <w:p w14:paraId="1BB62620" w14:textId="129865F3" w:rsidR="00B74F67" w:rsidRPr="00982558" w:rsidRDefault="00B74F67" w:rsidP="00B74F67">
      <w:pPr>
        <w:pStyle w:val="BodyText125"/>
      </w:pPr>
      <w:r w:rsidRPr="00982558">
        <w:t>If a proposed by-law is changed following such a meeting, Council must determine whether a further meeting (under this section) is necessary (i.e. if the proposed by-law which is proposed for adoption has been changed in any respect, Council should formally consider whether an additional public meeting is required, incorporating this determination as part of the final by-law or associated resolution.  It is noted that Council’s decision, once made, is final and not subject to review by a Court or the</w:t>
      </w:r>
      <w:r w:rsidR="00387A9B">
        <w:t xml:space="preserve"> Ontario Land Tribunal (OLT) (formerly the</w:t>
      </w:r>
      <w:r w:rsidRPr="00982558">
        <w:t xml:space="preserve"> </w:t>
      </w:r>
      <w:r>
        <w:t>Local Planning Appeal Tribunal (LPAT)</w:t>
      </w:r>
      <w:r w:rsidR="00387A9B">
        <w:t>).</w:t>
      </w:r>
    </w:p>
    <w:p w14:paraId="35E16767" w14:textId="77777777" w:rsidR="00B74F67" w:rsidRPr="00387A9B" w:rsidRDefault="00B74F67" w:rsidP="00B74F67">
      <w:pPr>
        <w:pStyle w:val="Heading3"/>
        <w:rPr>
          <w:szCs w:val="22"/>
        </w:rPr>
      </w:pPr>
      <w:bookmarkStart w:id="442" w:name="_Toc494293050"/>
      <w:bookmarkStart w:id="443" w:name="_Toc520300790"/>
      <w:bookmarkStart w:id="444" w:name="_Toc520822986"/>
      <w:bookmarkStart w:id="445" w:name="_Toc520911031"/>
      <w:bookmarkStart w:id="446" w:name="_Toc520911412"/>
      <w:bookmarkStart w:id="447" w:name="_Toc154068811"/>
      <w:r w:rsidRPr="00387A9B">
        <w:t>Other Consultation Activity</w:t>
      </w:r>
      <w:bookmarkEnd w:id="442"/>
      <w:bookmarkEnd w:id="443"/>
      <w:bookmarkEnd w:id="444"/>
      <w:bookmarkEnd w:id="445"/>
      <w:bookmarkEnd w:id="446"/>
      <w:bookmarkEnd w:id="447"/>
    </w:p>
    <w:p w14:paraId="2348A2BA" w14:textId="1DFC012C" w:rsidR="00B74F67" w:rsidRPr="00387A9B" w:rsidRDefault="00B74F67" w:rsidP="00B74F67">
      <w:pPr>
        <w:pStyle w:val="BodyText125"/>
      </w:pPr>
      <w:r w:rsidRPr="00387A9B">
        <w:t xml:space="preserve">There are three broad groupings of the public who are generally the most concerned with </w:t>
      </w:r>
      <w:r w:rsidR="00A1355F" w:rsidRPr="00387A9B">
        <w:t>City</w:t>
      </w:r>
      <w:r w:rsidRPr="00387A9B">
        <w:t xml:space="preserve"> D.C. policy:</w:t>
      </w:r>
    </w:p>
    <w:p w14:paraId="349777E9" w14:textId="26BF72D0" w:rsidR="00B74F67" w:rsidRPr="00387A9B" w:rsidRDefault="00B74F67" w:rsidP="00F43901">
      <w:pPr>
        <w:pStyle w:val="BodyText125"/>
        <w:numPr>
          <w:ilvl w:val="0"/>
          <w:numId w:val="20"/>
        </w:numPr>
      </w:pPr>
      <w:r w:rsidRPr="00387A9B">
        <w:t>The first grouping is the residential development</w:t>
      </w:r>
      <w:r w:rsidRPr="00982558">
        <w:t xml:space="preserve"> community, consisting of land developers and builders, who are typically responsible for generating the majority of the </w:t>
      </w:r>
      <w:r>
        <w:t>D.C.</w:t>
      </w:r>
      <w:r w:rsidRPr="00982558">
        <w:t xml:space="preserve"> revenues.  Others, such as realtors, are directly impacted by </w:t>
      </w:r>
      <w:r>
        <w:t>D.C.</w:t>
      </w:r>
      <w:r w:rsidRPr="00982558">
        <w:t xml:space="preserve"> </w:t>
      </w:r>
      <w:r w:rsidRPr="00387A9B">
        <w:t xml:space="preserve">policy.  They are, therefore, potentially interested in all aspects of the charge, particularly the quantum by unit type, projects to be funded by the D.C. and the timing thereof, and </w:t>
      </w:r>
      <w:r w:rsidR="00A1355F" w:rsidRPr="00387A9B">
        <w:t>City</w:t>
      </w:r>
      <w:r w:rsidRPr="00387A9B">
        <w:t xml:space="preserve"> policy with respect to development agreements, D.C. credits</w:t>
      </w:r>
      <w:r w:rsidR="00694A7B" w:rsidRPr="00387A9B">
        <w:t>,</w:t>
      </w:r>
      <w:r w:rsidRPr="00387A9B">
        <w:t xml:space="preserve"> and front-ending requirements.</w:t>
      </w:r>
    </w:p>
    <w:p w14:paraId="31E00448" w14:textId="77777777" w:rsidR="00B74F67" w:rsidRPr="00387A9B" w:rsidRDefault="00B74F67" w:rsidP="00F43901">
      <w:pPr>
        <w:pStyle w:val="BodyText125"/>
        <w:numPr>
          <w:ilvl w:val="0"/>
          <w:numId w:val="20"/>
        </w:numPr>
      </w:pPr>
      <w:r w:rsidRPr="00387A9B">
        <w:t>The second public grouping embraces the public at large and includes taxpayer coalition groups and others interested in public policy.</w:t>
      </w:r>
    </w:p>
    <w:p w14:paraId="7A110170" w14:textId="53FC57F8" w:rsidR="00B74F67" w:rsidRPr="00982558" w:rsidRDefault="00B74F67" w:rsidP="00F43901">
      <w:pPr>
        <w:pStyle w:val="BodyText125"/>
        <w:numPr>
          <w:ilvl w:val="0"/>
          <w:numId w:val="20"/>
        </w:numPr>
      </w:pPr>
      <w:r w:rsidRPr="00387A9B">
        <w:t>The third grouping is the industrial/commercial/institutional development sector, consisting of land developers and major owners or organizations with significant construction plans, such as hotels, entertainment complexes, shopping centres, offices, industrial buildings</w:t>
      </w:r>
      <w:r w:rsidR="00347BE5" w:rsidRPr="00387A9B">
        <w:t>,</w:t>
      </w:r>
      <w:r w:rsidRPr="00387A9B">
        <w:t xml:space="preserve"> and institutions.  Also involved are organizations such as Industry Associations, the Chamber of Commerce, the Board of Trade</w:t>
      </w:r>
      <w:r w:rsidR="00347BE5" w:rsidRPr="00387A9B">
        <w:t>,</w:t>
      </w:r>
      <w:r w:rsidRPr="00387A9B">
        <w:t xml:space="preserve"> and the Economic Development Agencies, who are all potentially interested in </w:t>
      </w:r>
      <w:r w:rsidR="00A1355F" w:rsidRPr="00387A9B">
        <w:t>City</w:t>
      </w:r>
      <w:r w:rsidRPr="00387A9B">
        <w:t xml:space="preserve"> D.C. policy.  Their primary concern is frequently with the quantum of the charge,</w:t>
      </w:r>
      <w:r w:rsidRPr="00982558">
        <w:t xml:space="preserve"> </w:t>
      </w:r>
      <w:r w:rsidR="00694A7B">
        <w:t>G.F.A.</w:t>
      </w:r>
      <w:r w:rsidRPr="00982558">
        <w:t xml:space="preserve"> exclusions such as basements, mechanical or indoor parking areas, or exemptions and phase-in or capping provisions in order to moderate the impact.  </w:t>
      </w:r>
    </w:p>
    <w:p w14:paraId="79712A3C" w14:textId="77777777" w:rsidR="00B74F67" w:rsidRPr="00982558" w:rsidRDefault="00B74F67" w:rsidP="00B74F67">
      <w:pPr>
        <w:pStyle w:val="Heading2"/>
        <w:rPr>
          <w:szCs w:val="22"/>
        </w:rPr>
      </w:pPr>
      <w:bookmarkStart w:id="448" w:name="_Toc494293051"/>
      <w:bookmarkStart w:id="449" w:name="_Toc520300791"/>
      <w:bookmarkStart w:id="450" w:name="_Toc520822987"/>
      <w:bookmarkStart w:id="451" w:name="_Toc520911032"/>
      <w:bookmarkStart w:id="452" w:name="_Toc520911413"/>
      <w:bookmarkStart w:id="453" w:name="_Toc154068812"/>
      <w:r>
        <w:t>A</w:t>
      </w:r>
      <w:r w:rsidRPr="00982558">
        <w:t>nticipated Impact of the Charge on Development</w:t>
      </w:r>
      <w:bookmarkEnd w:id="448"/>
      <w:bookmarkEnd w:id="449"/>
      <w:bookmarkEnd w:id="450"/>
      <w:bookmarkEnd w:id="451"/>
      <w:bookmarkEnd w:id="452"/>
      <w:bookmarkEnd w:id="453"/>
    </w:p>
    <w:p w14:paraId="056E2614" w14:textId="77777777" w:rsidR="00B74F67" w:rsidRPr="00387A9B" w:rsidRDefault="00B74F67" w:rsidP="00B74F67">
      <w:pPr>
        <w:pStyle w:val="BodyText125"/>
      </w:pPr>
      <w:r w:rsidRPr="00982558">
        <w:t xml:space="preserve">The establishment of sound </w:t>
      </w:r>
      <w:r>
        <w:t>D.C.</w:t>
      </w:r>
      <w:r w:rsidRPr="00982558">
        <w:t xml:space="preserve"> policy often requires the achievement of an acceptable balance between two competing realities.  The first is that high non-residential </w:t>
      </w:r>
      <w:r>
        <w:t>D.C.</w:t>
      </w:r>
      <w:r w:rsidRPr="00982558">
        <w:t xml:space="preserve">s can, to some degree, represent a barrier to increased economic activity and sustained industrial/commercial growth, particularly for capital intensive </w:t>
      </w:r>
      <w:r w:rsidRPr="00387A9B">
        <w:t>uses.  Also, in many cases, increased residential D.C.s can ultimately be expected to be recovered via higher housing prices and can impact project feasibility in some cases (e.g. rental apartments).</w:t>
      </w:r>
    </w:p>
    <w:p w14:paraId="6DB77E7E" w14:textId="105F7A88" w:rsidR="00B74F67" w:rsidRPr="00982558" w:rsidRDefault="00B74F67" w:rsidP="00B74F67">
      <w:pPr>
        <w:pStyle w:val="BodyText125"/>
      </w:pPr>
      <w:r w:rsidRPr="00387A9B">
        <w:t xml:space="preserve">On the other hand, D.C.s or other </w:t>
      </w:r>
      <w:r w:rsidR="00A1355F" w:rsidRPr="00387A9B">
        <w:t>City</w:t>
      </w:r>
      <w:r w:rsidRPr="00387A9B">
        <w:t xml:space="preserve"> capital funding sources need to be obtained in order to help ensure that the necessary infrastructure</w:t>
      </w:r>
      <w:r w:rsidRPr="00982558">
        <w:t xml:space="preserve"> and amenities are installed.  The timely installation of such works is a key initiative in providing adequate service levels and in facilitating strong economic growth, investment</w:t>
      </w:r>
      <w:r w:rsidR="00347BE5">
        <w:t>,</w:t>
      </w:r>
      <w:r w:rsidRPr="00982558">
        <w:t xml:space="preserve"> and wealth generation.</w:t>
      </w:r>
    </w:p>
    <w:p w14:paraId="337C8E93" w14:textId="77777777" w:rsidR="00B74F67" w:rsidRPr="00982558" w:rsidRDefault="00B74F67" w:rsidP="00B74F67">
      <w:pPr>
        <w:pStyle w:val="Heading2"/>
      </w:pPr>
      <w:bookmarkStart w:id="454" w:name="_Toc494293052"/>
      <w:bookmarkStart w:id="455" w:name="_Toc520300792"/>
      <w:bookmarkStart w:id="456" w:name="_Toc520822988"/>
      <w:bookmarkStart w:id="457" w:name="_Toc520911033"/>
      <w:bookmarkStart w:id="458" w:name="_Toc520911414"/>
      <w:bookmarkStart w:id="459" w:name="_Toc154068813"/>
      <w:r w:rsidRPr="00982558">
        <w:t>Implementation Requirements</w:t>
      </w:r>
      <w:bookmarkEnd w:id="454"/>
      <w:bookmarkEnd w:id="455"/>
      <w:bookmarkEnd w:id="456"/>
      <w:bookmarkEnd w:id="457"/>
      <w:bookmarkEnd w:id="458"/>
      <w:bookmarkEnd w:id="459"/>
    </w:p>
    <w:p w14:paraId="4C767F55" w14:textId="77777777" w:rsidR="00B74F67" w:rsidRPr="00387A9B" w:rsidRDefault="00B74F67" w:rsidP="00B74F67">
      <w:pPr>
        <w:pStyle w:val="Heading3"/>
      </w:pPr>
      <w:bookmarkStart w:id="460" w:name="_Toc494293053"/>
      <w:bookmarkStart w:id="461" w:name="_Toc520300793"/>
      <w:bookmarkStart w:id="462" w:name="_Toc520822989"/>
      <w:bookmarkStart w:id="463" w:name="_Toc520911034"/>
      <w:bookmarkStart w:id="464" w:name="_Toc520911415"/>
      <w:bookmarkStart w:id="465" w:name="_Toc154068814"/>
      <w:r w:rsidRPr="00387A9B">
        <w:t>Introduction</w:t>
      </w:r>
      <w:bookmarkEnd w:id="460"/>
      <w:bookmarkEnd w:id="461"/>
      <w:bookmarkEnd w:id="462"/>
      <w:bookmarkEnd w:id="463"/>
      <w:bookmarkEnd w:id="464"/>
      <w:bookmarkEnd w:id="465"/>
    </w:p>
    <w:p w14:paraId="78FFC93A" w14:textId="3F6CE42B" w:rsidR="00B74F67" w:rsidRPr="00387A9B" w:rsidRDefault="00B74F67" w:rsidP="00B74F67">
      <w:pPr>
        <w:pStyle w:val="BodyText125"/>
      </w:pPr>
      <w:r w:rsidRPr="00387A9B">
        <w:t xml:space="preserve">Once the </w:t>
      </w:r>
      <w:r w:rsidR="00A1355F" w:rsidRPr="00387A9B">
        <w:t>City</w:t>
      </w:r>
      <w:r w:rsidRPr="00387A9B">
        <w:t xml:space="preserve"> has calculated the charge, prepared the complete background study, carried out the public process</w:t>
      </w:r>
      <w:r w:rsidR="00694A7B" w:rsidRPr="00387A9B">
        <w:t>,</w:t>
      </w:r>
      <w:r w:rsidRPr="00387A9B">
        <w:t xml:space="preserve"> and passed a new by-law, the emphasis shifts to implementation matters.</w:t>
      </w:r>
    </w:p>
    <w:p w14:paraId="07D79EC0" w14:textId="77777777" w:rsidR="00B74F67" w:rsidRPr="00982558" w:rsidRDefault="00B74F67" w:rsidP="00B74F67">
      <w:pPr>
        <w:pStyle w:val="BodyText125"/>
      </w:pPr>
      <w:r w:rsidRPr="00387A9B">
        <w:t>These include notices, potential appeals and complaints, credits, front-ending agreements, subdivision agreement conditions</w:t>
      </w:r>
      <w:r w:rsidR="00694A7B" w:rsidRPr="00387A9B">
        <w:t>,</w:t>
      </w:r>
      <w:r w:rsidRPr="00387A9B">
        <w:t xml:space="preserve"> and finally the collection of revenues and funding of projects.</w:t>
      </w:r>
    </w:p>
    <w:p w14:paraId="75F1D5C8" w14:textId="77777777" w:rsidR="00B74F67" w:rsidRPr="00387A9B" w:rsidRDefault="00B74F67" w:rsidP="00B74F67">
      <w:pPr>
        <w:pStyle w:val="BodyText125"/>
      </w:pPr>
      <w:r w:rsidRPr="00982558">
        <w:t xml:space="preserve">The sections </w:t>
      </w:r>
      <w:r w:rsidR="00694A7B">
        <w:t xml:space="preserve">that </w:t>
      </w:r>
      <w:r w:rsidRPr="00982558">
        <w:t xml:space="preserve">follow overview the </w:t>
      </w:r>
      <w:r w:rsidRPr="00387A9B">
        <w:t>requirements in each case.</w:t>
      </w:r>
    </w:p>
    <w:p w14:paraId="59A35609" w14:textId="77777777" w:rsidR="00B74F67" w:rsidRPr="00387A9B" w:rsidRDefault="00B74F67" w:rsidP="00B74F67">
      <w:pPr>
        <w:pStyle w:val="Heading3"/>
        <w:rPr>
          <w:smallCaps/>
        </w:rPr>
      </w:pPr>
      <w:bookmarkStart w:id="466" w:name="_Toc494293054"/>
      <w:bookmarkStart w:id="467" w:name="_Toc520300794"/>
      <w:bookmarkStart w:id="468" w:name="_Toc520822990"/>
      <w:bookmarkStart w:id="469" w:name="_Toc520911035"/>
      <w:bookmarkStart w:id="470" w:name="_Toc520911416"/>
      <w:bookmarkStart w:id="471" w:name="_Toc154068815"/>
      <w:r w:rsidRPr="00387A9B">
        <w:t>Notice of Passage</w:t>
      </w:r>
      <w:bookmarkEnd w:id="466"/>
      <w:bookmarkEnd w:id="467"/>
      <w:bookmarkEnd w:id="468"/>
      <w:bookmarkEnd w:id="469"/>
      <w:bookmarkEnd w:id="470"/>
      <w:bookmarkEnd w:id="471"/>
    </w:p>
    <w:p w14:paraId="6A288530" w14:textId="1977D62A" w:rsidR="00B74F67" w:rsidRPr="00982558" w:rsidRDefault="00B74F67" w:rsidP="00B74F67">
      <w:pPr>
        <w:pStyle w:val="BodyText125"/>
      </w:pPr>
      <w:r w:rsidRPr="00387A9B">
        <w:t>In accordance with s</w:t>
      </w:r>
      <w:r w:rsidR="00E16E86" w:rsidRPr="00387A9B">
        <w:t xml:space="preserve">ection </w:t>
      </w:r>
      <w:r w:rsidRPr="00387A9B">
        <w:t xml:space="preserve">13 of the D.C.A., when a D.C. by-law is passed, the </w:t>
      </w:r>
      <w:r w:rsidR="00A1355F" w:rsidRPr="00387A9B">
        <w:t>City</w:t>
      </w:r>
      <w:r w:rsidRPr="00387A9B">
        <w:t xml:space="preserve"> clerk shall give written notice of the passing and of the last day for appealing the by-law (the day that is 40 days after the day it was passed).  Such notice must be given no later than 20 days after the day the by-law is passed (i.e. as of the day of newspaper publication or the mailing of the notice).</w:t>
      </w:r>
    </w:p>
    <w:p w14:paraId="2F8A6E30" w14:textId="77777777" w:rsidR="00B74F67" w:rsidRPr="00982558" w:rsidRDefault="00B74F67" w:rsidP="00B74F67">
      <w:pPr>
        <w:pStyle w:val="BodyText125"/>
      </w:pPr>
      <w:r w:rsidRPr="00982558">
        <w:t xml:space="preserve">Section 10 of </w:t>
      </w:r>
      <w:r w:rsidR="003B194A">
        <w:t>O.</w:t>
      </w:r>
      <w:r w:rsidR="003B194A">
        <w:rPr>
          <w:noProof/>
        </w:rPr>
        <w:t> </w:t>
      </w:r>
      <w:r w:rsidR="003B194A">
        <w:t>Reg</w:t>
      </w:r>
      <w:r w:rsidRPr="00982558">
        <w:t>. 82/98 further defines the notice requirements which are summarized as follows:</w:t>
      </w:r>
    </w:p>
    <w:p w14:paraId="6CB1E28E" w14:textId="77777777" w:rsidR="00B74F67" w:rsidRPr="00982558" w:rsidRDefault="00B74F67" w:rsidP="00B74F67">
      <w:pPr>
        <w:pStyle w:val="BodyTextbullets125"/>
      </w:pPr>
      <w:r w:rsidRPr="00982558">
        <w:t xml:space="preserve">notice may be given by publication in a newspaper which is (in the </w:t>
      </w:r>
      <w:r w:rsidR="00694A7B">
        <w:t>c</w:t>
      </w:r>
      <w:r w:rsidRPr="00982558">
        <w:t>lerk’s opinion) of sufficient circulation to give the public reasonable notice, or by personal service, fax or mail to every owner of land in the area to which the by-law relates;</w:t>
      </w:r>
    </w:p>
    <w:p w14:paraId="7F4D477C" w14:textId="77777777" w:rsidR="00B74F67" w:rsidRPr="00982558" w:rsidRDefault="00B74F67" w:rsidP="00B74F67">
      <w:pPr>
        <w:pStyle w:val="BodyTextbullets125"/>
      </w:pPr>
      <w:r w:rsidRPr="00982558">
        <w:t>s</w:t>
      </w:r>
      <w:r w:rsidR="00E16E86">
        <w:t xml:space="preserve">ubsection </w:t>
      </w:r>
      <w:r w:rsidRPr="00982558">
        <w:t>10</w:t>
      </w:r>
      <w:r w:rsidR="00E16E86">
        <w:t xml:space="preserve"> </w:t>
      </w:r>
      <w:r w:rsidRPr="00982558">
        <w:t>(4) lists the persons/organizations who must be given notice; and</w:t>
      </w:r>
    </w:p>
    <w:p w14:paraId="52BC6172" w14:textId="77777777" w:rsidR="00B74F67" w:rsidRPr="00982558" w:rsidRDefault="00B74F67" w:rsidP="00B74F67">
      <w:pPr>
        <w:pStyle w:val="BodyTextbullets125"/>
      </w:pPr>
      <w:r w:rsidRPr="00982558">
        <w:t>s</w:t>
      </w:r>
      <w:r w:rsidR="00E16E86">
        <w:t>ubsection 1</w:t>
      </w:r>
      <w:r w:rsidRPr="00982558">
        <w:t>0</w:t>
      </w:r>
      <w:r w:rsidR="00E16E86">
        <w:t xml:space="preserve"> </w:t>
      </w:r>
      <w:r w:rsidRPr="00982558">
        <w:t xml:space="preserve">(5) lists the eight items </w:t>
      </w:r>
      <w:r w:rsidR="00694A7B">
        <w:t>that</w:t>
      </w:r>
      <w:r w:rsidRPr="00982558">
        <w:t xml:space="preserve"> the notice must cover.</w:t>
      </w:r>
    </w:p>
    <w:p w14:paraId="1FF346EE" w14:textId="77777777" w:rsidR="00B74F67" w:rsidRPr="00387A9B" w:rsidRDefault="00B74F67" w:rsidP="00B74F67">
      <w:pPr>
        <w:pStyle w:val="Heading3"/>
        <w:rPr>
          <w:smallCaps/>
        </w:rPr>
      </w:pPr>
      <w:bookmarkStart w:id="472" w:name="_Toc494293055"/>
      <w:bookmarkStart w:id="473" w:name="_Toc520300795"/>
      <w:bookmarkStart w:id="474" w:name="_Toc520822991"/>
      <w:bookmarkStart w:id="475" w:name="_Toc520911036"/>
      <w:bookmarkStart w:id="476" w:name="_Toc520911417"/>
      <w:bookmarkStart w:id="477" w:name="_Toc154068816"/>
      <w:r w:rsidRPr="00982558">
        <w:t xml:space="preserve">By-law </w:t>
      </w:r>
      <w:r w:rsidRPr="00387A9B">
        <w:t>Pamphlet</w:t>
      </w:r>
      <w:bookmarkEnd w:id="472"/>
      <w:bookmarkEnd w:id="473"/>
      <w:bookmarkEnd w:id="474"/>
      <w:bookmarkEnd w:id="475"/>
      <w:bookmarkEnd w:id="476"/>
      <w:bookmarkEnd w:id="477"/>
    </w:p>
    <w:p w14:paraId="52F4DD3F" w14:textId="6778EBB4" w:rsidR="00B74F67" w:rsidRPr="00387A9B" w:rsidRDefault="00B74F67" w:rsidP="00B74F67">
      <w:pPr>
        <w:pStyle w:val="BodyText125"/>
      </w:pPr>
      <w:r w:rsidRPr="00387A9B">
        <w:t xml:space="preserve">In addition to the “notice” information, the </w:t>
      </w:r>
      <w:r w:rsidR="00A1355F" w:rsidRPr="00387A9B">
        <w:t>City</w:t>
      </w:r>
      <w:r w:rsidRPr="00387A9B">
        <w:t xml:space="preserve"> must prepare a “pamphlet” explaining each D.C. by-law in force, setting out:</w:t>
      </w:r>
    </w:p>
    <w:p w14:paraId="16D889FD" w14:textId="77777777" w:rsidR="00B74F67" w:rsidRPr="00387A9B" w:rsidRDefault="00B74F67" w:rsidP="00B74F67">
      <w:pPr>
        <w:pStyle w:val="BodyTextbullets125"/>
      </w:pPr>
      <w:r w:rsidRPr="00387A9B">
        <w:t>a description of the general purpose of the D.C.s;</w:t>
      </w:r>
    </w:p>
    <w:p w14:paraId="0C32690F" w14:textId="77777777" w:rsidR="00B74F67" w:rsidRPr="00982558" w:rsidRDefault="00B74F67" w:rsidP="00B74F67">
      <w:pPr>
        <w:pStyle w:val="BodyTextbullets125"/>
      </w:pPr>
      <w:r w:rsidRPr="00982558">
        <w:t>the “rules” for determining if a charge is payable in a particular case and for determining the amount of the charge;</w:t>
      </w:r>
    </w:p>
    <w:p w14:paraId="04F51621" w14:textId="77777777" w:rsidR="00B74F67" w:rsidRPr="00982558" w:rsidRDefault="00B74F67" w:rsidP="00B74F67">
      <w:pPr>
        <w:pStyle w:val="BodyTextbullets125"/>
      </w:pPr>
      <w:r w:rsidRPr="00982558">
        <w:t xml:space="preserve">the services to which the </w:t>
      </w:r>
      <w:r>
        <w:t>D.C.</w:t>
      </w:r>
      <w:r w:rsidRPr="00982558">
        <w:t>s relate; and</w:t>
      </w:r>
    </w:p>
    <w:p w14:paraId="495EB3E0" w14:textId="77777777" w:rsidR="00B74F67" w:rsidRPr="00982558" w:rsidRDefault="00B74F67" w:rsidP="00B74F67">
      <w:pPr>
        <w:pStyle w:val="BodyTextbullets125"/>
      </w:pPr>
      <w:r w:rsidRPr="00982558">
        <w:t>a description of the general purpose of the Treasurer’s statement and where it may be received by the public.</w:t>
      </w:r>
    </w:p>
    <w:p w14:paraId="51276194" w14:textId="77777777" w:rsidR="00B74F67" w:rsidRPr="00387A9B" w:rsidRDefault="00B74F67" w:rsidP="00B74F67">
      <w:pPr>
        <w:pStyle w:val="BodyText125"/>
      </w:pPr>
      <w:r w:rsidRPr="00982558">
        <w:t xml:space="preserve">Where a by-law is not appealed to the </w:t>
      </w:r>
      <w:r>
        <w:t>LPAT</w:t>
      </w:r>
      <w:r w:rsidRPr="00982558">
        <w:t xml:space="preserve">, the pamphlet must be readied within 60 </w:t>
      </w:r>
      <w:r w:rsidRPr="00387A9B">
        <w:t>days after the by-law comes into force.  Later dates apply to appealed by-laws.</w:t>
      </w:r>
    </w:p>
    <w:p w14:paraId="6ED7565C" w14:textId="3F341AB8" w:rsidR="00B74F67" w:rsidRDefault="00B74F67" w:rsidP="00B74F67">
      <w:pPr>
        <w:pStyle w:val="BodyText125"/>
      </w:pPr>
      <w:r w:rsidRPr="00387A9B">
        <w:t xml:space="preserve">The </w:t>
      </w:r>
      <w:r w:rsidR="00A1355F" w:rsidRPr="00387A9B">
        <w:t>City</w:t>
      </w:r>
      <w:r w:rsidRPr="00387A9B">
        <w:t xml:space="preserve"> must give one copy of the most recent pamphlet without charge to any person who requests one.</w:t>
      </w:r>
    </w:p>
    <w:p w14:paraId="56190154" w14:textId="77777777" w:rsidR="00B74F67" w:rsidRPr="00982558" w:rsidRDefault="00B74F67" w:rsidP="00B74F67">
      <w:pPr>
        <w:pStyle w:val="Heading3"/>
        <w:rPr>
          <w:smallCaps/>
        </w:rPr>
      </w:pPr>
      <w:bookmarkStart w:id="478" w:name="_Toc494293056"/>
      <w:bookmarkStart w:id="479" w:name="_Toc520300796"/>
      <w:bookmarkStart w:id="480" w:name="_Toc520822992"/>
      <w:bookmarkStart w:id="481" w:name="_Toc520911037"/>
      <w:bookmarkStart w:id="482" w:name="_Toc520911418"/>
      <w:bookmarkStart w:id="483" w:name="_Toc154068817"/>
      <w:r w:rsidRPr="00982558">
        <w:t>Appeals</w:t>
      </w:r>
      <w:bookmarkEnd w:id="478"/>
      <w:bookmarkEnd w:id="479"/>
      <w:bookmarkEnd w:id="480"/>
      <w:bookmarkEnd w:id="481"/>
      <w:bookmarkEnd w:id="482"/>
      <w:bookmarkEnd w:id="483"/>
    </w:p>
    <w:p w14:paraId="1854E1BD" w14:textId="76D8E728" w:rsidR="00B74F67" w:rsidRPr="00387A9B" w:rsidRDefault="00B74F67" w:rsidP="00B74F67">
      <w:pPr>
        <w:pStyle w:val="BodyText125"/>
      </w:pPr>
      <w:r w:rsidRPr="00982558">
        <w:t>Sections 13</w:t>
      </w:r>
      <w:r>
        <w:t xml:space="preserve"> to </w:t>
      </w:r>
      <w:r w:rsidRPr="00982558">
        <w:t xml:space="preserve">19 of the </w:t>
      </w:r>
      <w:r>
        <w:t>D.C.A.</w:t>
      </w:r>
      <w:r w:rsidRPr="00982558">
        <w:t xml:space="preserve"> set out the requirements relative to making and processing a </w:t>
      </w:r>
      <w:r>
        <w:t>D.C.</w:t>
      </w:r>
      <w:r w:rsidRPr="00982558">
        <w:t xml:space="preserve"> by-law appeal and</w:t>
      </w:r>
      <w:r>
        <w:t xml:space="preserve"> LPAT</w:t>
      </w:r>
      <w:r w:rsidRPr="00982558">
        <w:t xml:space="preserve"> </w:t>
      </w:r>
      <w:r w:rsidR="00347BE5">
        <w:t>h</w:t>
      </w:r>
      <w:r w:rsidRPr="00982558">
        <w:t xml:space="preserve">earing in response to an appeal.  Any </w:t>
      </w:r>
      <w:r w:rsidRPr="00387A9B">
        <w:t xml:space="preserve">person or organization may appeal a D.C. by-law to the LPAT by filing a notice of appeal with the </w:t>
      </w:r>
      <w:r w:rsidR="00A1355F" w:rsidRPr="00387A9B">
        <w:t>City</w:t>
      </w:r>
      <w:r w:rsidRPr="00387A9B">
        <w:t xml:space="preserve"> clerk, setting out the objection to the by-law and the reasons supporting the objection.  This must be done by the last day for appealing the by-law, which is 40 days after the by-law is passed.</w:t>
      </w:r>
    </w:p>
    <w:p w14:paraId="0B64CA8F" w14:textId="0C5CBCEA" w:rsidR="00B74F67" w:rsidRPr="00387A9B" w:rsidRDefault="00B74F67" w:rsidP="00B74F67">
      <w:pPr>
        <w:pStyle w:val="BodyText125"/>
      </w:pPr>
      <w:r w:rsidRPr="00387A9B">
        <w:t xml:space="preserve">The </w:t>
      </w:r>
      <w:r w:rsidR="00A1355F" w:rsidRPr="00387A9B">
        <w:t>City</w:t>
      </w:r>
      <w:r w:rsidRPr="00387A9B">
        <w:t xml:space="preserve"> is carrying out a public consultation process, in order to address the issues </w:t>
      </w:r>
      <w:r w:rsidR="00EF07B2" w:rsidRPr="00387A9B">
        <w:t xml:space="preserve">that </w:t>
      </w:r>
      <w:r w:rsidRPr="00387A9B">
        <w:t>come forward as part of that process, thereby avoiding or reducing the need for an appeal to be made.</w:t>
      </w:r>
    </w:p>
    <w:p w14:paraId="34BB7A96" w14:textId="77777777" w:rsidR="00B74F67" w:rsidRPr="00387A9B" w:rsidRDefault="00B74F67" w:rsidP="00B74F67">
      <w:pPr>
        <w:pStyle w:val="Heading3"/>
        <w:rPr>
          <w:smallCaps/>
        </w:rPr>
      </w:pPr>
      <w:bookmarkStart w:id="484" w:name="_Toc494293057"/>
      <w:bookmarkStart w:id="485" w:name="_Toc520300797"/>
      <w:bookmarkStart w:id="486" w:name="_Toc520822993"/>
      <w:bookmarkStart w:id="487" w:name="_Toc520911038"/>
      <w:bookmarkStart w:id="488" w:name="_Toc520911419"/>
      <w:bookmarkStart w:id="489" w:name="_Toc154068818"/>
      <w:r w:rsidRPr="00387A9B">
        <w:t>Complaints</w:t>
      </w:r>
      <w:bookmarkEnd w:id="484"/>
      <w:bookmarkEnd w:id="485"/>
      <w:bookmarkEnd w:id="486"/>
      <w:bookmarkEnd w:id="487"/>
      <w:bookmarkEnd w:id="488"/>
      <w:bookmarkEnd w:id="489"/>
    </w:p>
    <w:p w14:paraId="175A8D88" w14:textId="00334D7C" w:rsidR="00B74F67" w:rsidRPr="00982558" w:rsidRDefault="00B74F67" w:rsidP="00B74F67">
      <w:pPr>
        <w:pStyle w:val="BodyText125"/>
      </w:pPr>
      <w:r w:rsidRPr="00387A9B">
        <w:t xml:space="preserve">A person required to pay a D.C., or his agent, may complain to the </w:t>
      </w:r>
      <w:r w:rsidR="00A1355F" w:rsidRPr="00387A9B">
        <w:t>City</w:t>
      </w:r>
      <w:r w:rsidRPr="00387A9B">
        <w:t xml:space="preserve"> Council</w:t>
      </w:r>
      <w:r w:rsidRPr="00982558">
        <w:t xml:space="preserve"> imposing the charge that:</w:t>
      </w:r>
    </w:p>
    <w:p w14:paraId="07F4675D" w14:textId="77777777" w:rsidR="00B74F67" w:rsidRPr="00982558" w:rsidRDefault="00B74F67" w:rsidP="00B74F67">
      <w:pPr>
        <w:pStyle w:val="BodyTextbullets125"/>
      </w:pPr>
      <w:r w:rsidRPr="00982558">
        <w:t>the amount of the charge was incorrectly determined;</w:t>
      </w:r>
    </w:p>
    <w:p w14:paraId="462DFCCD" w14:textId="77777777" w:rsidR="00B74F67" w:rsidRPr="00982558" w:rsidRDefault="00B74F67" w:rsidP="00B74F67">
      <w:pPr>
        <w:pStyle w:val="BodyTextbullets125"/>
      </w:pPr>
      <w:r w:rsidRPr="00982558">
        <w:t xml:space="preserve">the </w:t>
      </w:r>
      <w:r>
        <w:t>reduction</w:t>
      </w:r>
      <w:r w:rsidRPr="00982558">
        <w:t xml:space="preserve"> to be used against the </w:t>
      </w:r>
      <w:r>
        <w:t>D.C.</w:t>
      </w:r>
      <w:r w:rsidRPr="00982558">
        <w:t xml:space="preserve"> was incorrectly determined; or</w:t>
      </w:r>
    </w:p>
    <w:p w14:paraId="6D483024" w14:textId="77777777" w:rsidR="00B74F67" w:rsidRPr="00982558" w:rsidRDefault="00B74F67" w:rsidP="00B74F67">
      <w:pPr>
        <w:pStyle w:val="BodyTextbullets125"/>
      </w:pPr>
      <w:r w:rsidRPr="00982558">
        <w:t xml:space="preserve">there was an error in the application of the </w:t>
      </w:r>
      <w:r>
        <w:t>D.C.</w:t>
      </w:r>
    </w:p>
    <w:p w14:paraId="056BD5F5" w14:textId="3DE5D76C" w:rsidR="00B74F67" w:rsidRPr="00982558" w:rsidRDefault="00B74F67" w:rsidP="00B74F67">
      <w:pPr>
        <w:pStyle w:val="BodyText125"/>
      </w:pPr>
      <w:r w:rsidRPr="00982558">
        <w:t>Sections 20</w:t>
      </w:r>
      <w:r>
        <w:t xml:space="preserve"> to </w:t>
      </w:r>
      <w:r w:rsidRPr="00982558">
        <w:t xml:space="preserve">25 of the </w:t>
      </w:r>
      <w:r>
        <w:t>D.C.A.</w:t>
      </w:r>
      <w:r w:rsidRPr="00982558">
        <w:t xml:space="preserve"> set out the requirements that exist, including the fact that a complaint may not be made later than 90 days after a </w:t>
      </w:r>
      <w:r>
        <w:t>D.C.</w:t>
      </w:r>
      <w:r w:rsidRPr="00982558">
        <w:t xml:space="preserve"> (or any part of it) is payable.  A complainant may appeal </w:t>
      </w:r>
      <w:r w:rsidRPr="00387A9B">
        <w:t xml:space="preserve">the decision of </w:t>
      </w:r>
      <w:r w:rsidR="00A1355F" w:rsidRPr="00387A9B">
        <w:t>City</w:t>
      </w:r>
      <w:r w:rsidRPr="00387A9B">
        <w:t xml:space="preserve"> Council to the </w:t>
      </w:r>
      <w:r w:rsidR="00387A9B">
        <w:t>OLT</w:t>
      </w:r>
      <w:r w:rsidRPr="00387A9B">
        <w:t>.</w:t>
      </w:r>
    </w:p>
    <w:p w14:paraId="14FBDBAB" w14:textId="77777777" w:rsidR="00B74F67" w:rsidRPr="00982558" w:rsidRDefault="00B74F67" w:rsidP="00B74F67">
      <w:pPr>
        <w:pStyle w:val="Heading3"/>
        <w:rPr>
          <w:smallCaps/>
        </w:rPr>
      </w:pPr>
      <w:bookmarkStart w:id="490" w:name="_Toc494293058"/>
      <w:bookmarkStart w:id="491" w:name="_Toc520300798"/>
      <w:bookmarkStart w:id="492" w:name="_Toc520822994"/>
      <w:bookmarkStart w:id="493" w:name="_Toc520911039"/>
      <w:bookmarkStart w:id="494" w:name="_Toc520911420"/>
      <w:bookmarkStart w:id="495" w:name="_Toc154068819"/>
      <w:r w:rsidRPr="00982558">
        <w:t>Credits</w:t>
      </w:r>
      <w:bookmarkEnd w:id="490"/>
      <w:bookmarkEnd w:id="491"/>
      <w:bookmarkEnd w:id="492"/>
      <w:bookmarkEnd w:id="493"/>
      <w:bookmarkEnd w:id="494"/>
      <w:bookmarkEnd w:id="495"/>
    </w:p>
    <w:p w14:paraId="1D26E36C" w14:textId="1AD02F71" w:rsidR="00B74F67" w:rsidRPr="00387A9B" w:rsidRDefault="00B74F67" w:rsidP="00B74F67">
      <w:pPr>
        <w:pStyle w:val="BodyText125"/>
      </w:pPr>
      <w:r w:rsidRPr="00982558">
        <w:t>Sections 38</w:t>
      </w:r>
      <w:r>
        <w:t xml:space="preserve"> to </w:t>
      </w:r>
      <w:r w:rsidRPr="00982558">
        <w:t xml:space="preserve">41 of the </w:t>
      </w:r>
      <w:r>
        <w:t>D.C.A.</w:t>
      </w:r>
      <w:r w:rsidRPr="00982558">
        <w:t xml:space="preserve"> set out a number of credit requirements, which apply </w:t>
      </w:r>
      <w:r w:rsidRPr="00387A9B">
        <w:t xml:space="preserve">where a </w:t>
      </w:r>
      <w:r w:rsidR="00A1355F" w:rsidRPr="00387A9B">
        <w:t>City</w:t>
      </w:r>
      <w:r w:rsidRPr="00387A9B">
        <w:t xml:space="preserve"> agrees to allow a person to perform work in the future that relates to a service in the D.C. by-law.</w:t>
      </w:r>
    </w:p>
    <w:p w14:paraId="77EF77D4" w14:textId="2BE5100B" w:rsidR="00B74F67" w:rsidRPr="00387A9B" w:rsidRDefault="00B74F67" w:rsidP="00B74F67">
      <w:pPr>
        <w:pStyle w:val="BodyText125"/>
      </w:pPr>
      <w:r w:rsidRPr="00387A9B">
        <w:t xml:space="preserve">These credits would be used to reduce the amount of D.C.s to be paid.  The value of the credit is limited to the reasonable cost of the work which does not exceed the average level of service.  The credit applies only to the service to which the work relates, unless the </w:t>
      </w:r>
      <w:r w:rsidR="00A1355F" w:rsidRPr="00387A9B">
        <w:t>City</w:t>
      </w:r>
      <w:r w:rsidRPr="00387A9B">
        <w:t xml:space="preserve"> agrees to expand the credit to other services for which a D.C. is payable.</w:t>
      </w:r>
    </w:p>
    <w:p w14:paraId="38D4F8CD" w14:textId="77777777" w:rsidR="00B74F67" w:rsidRPr="00387A9B" w:rsidRDefault="00B74F67" w:rsidP="00B74F67">
      <w:pPr>
        <w:pStyle w:val="Heading3"/>
        <w:rPr>
          <w:smallCaps/>
        </w:rPr>
      </w:pPr>
      <w:bookmarkStart w:id="496" w:name="_Toc494293059"/>
      <w:bookmarkStart w:id="497" w:name="_Toc520300799"/>
      <w:bookmarkStart w:id="498" w:name="_Toc520822995"/>
      <w:bookmarkStart w:id="499" w:name="_Toc520911040"/>
      <w:bookmarkStart w:id="500" w:name="_Toc520911421"/>
      <w:bookmarkStart w:id="501" w:name="_Toc154068820"/>
      <w:r w:rsidRPr="00387A9B">
        <w:t>Front-Ending Agreements</w:t>
      </w:r>
      <w:bookmarkEnd w:id="496"/>
      <w:bookmarkEnd w:id="497"/>
      <w:bookmarkEnd w:id="498"/>
      <w:bookmarkEnd w:id="499"/>
      <w:bookmarkEnd w:id="500"/>
      <w:bookmarkEnd w:id="501"/>
    </w:p>
    <w:p w14:paraId="5D59A2D1" w14:textId="123C72AC" w:rsidR="00B74F67" w:rsidRPr="00387A9B" w:rsidRDefault="00B74F67" w:rsidP="00B74F67">
      <w:pPr>
        <w:pStyle w:val="BodyText125"/>
      </w:pPr>
      <w:r w:rsidRPr="00387A9B">
        <w:t xml:space="preserve">The </w:t>
      </w:r>
      <w:r w:rsidR="00A1355F" w:rsidRPr="00387A9B">
        <w:t>City</w:t>
      </w:r>
      <w:r w:rsidRPr="00387A9B">
        <w:t xml:space="preserve"> and one or more landowners may enter into a front-ending agreement </w:t>
      </w:r>
      <w:r w:rsidR="00694A7B" w:rsidRPr="00387A9B">
        <w:t>that</w:t>
      </w:r>
      <w:r w:rsidRPr="00387A9B">
        <w:t xml:space="preserve"> provides for the costs of a project which will benefit an area in the </w:t>
      </w:r>
      <w:r w:rsidR="00A1355F" w:rsidRPr="00387A9B">
        <w:t>City</w:t>
      </w:r>
      <w:r w:rsidRPr="00387A9B">
        <w:t xml:space="preserve"> to which the D.C. by-law applies.  Such an agreement can provide for the costs to be borne by one or more parties to the agreement who are, in turn, reimbursed in future by persons who develop land defined in the agreement.</w:t>
      </w:r>
    </w:p>
    <w:p w14:paraId="52C81DAB" w14:textId="72AFBF09" w:rsidR="00B74F67" w:rsidRPr="00982558" w:rsidRDefault="00B74F67" w:rsidP="00B74F67">
      <w:pPr>
        <w:pStyle w:val="BodyText125"/>
      </w:pPr>
      <w:r w:rsidRPr="00387A9B">
        <w:t>Part III of the D.C.A. (</w:t>
      </w:r>
      <w:r w:rsidR="00A31451" w:rsidRPr="00387A9B">
        <w:t>s</w:t>
      </w:r>
      <w:r w:rsidRPr="00387A9B">
        <w:t xml:space="preserve">ections 44 to 58) addresses front-ending agreements and removes some of the obstacles to their use which were contained in the D.C.A., 1989.  Accordingly, the </w:t>
      </w:r>
      <w:r w:rsidR="00A1355F" w:rsidRPr="00387A9B">
        <w:t>City</w:t>
      </w:r>
      <w:r w:rsidRPr="00387A9B">
        <w:t xml:space="preserve"> assesses whether this mechanism is appropriate for its use, as part of funding projects prior to </w:t>
      </w:r>
      <w:r w:rsidR="00A1355F" w:rsidRPr="00387A9B">
        <w:t>City</w:t>
      </w:r>
      <w:r w:rsidRPr="00387A9B">
        <w:t xml:space="preserve"> funds being available.</w:t>
      </w:r>
    </w:p>
    <w:p w14:paraId="6226F89E" w14:textId="77777777" w:rsidR="00B74F67" w:rsidRPr="00982558" w:rsidRDefault="00B74F67" w:rsidP="00B74F67">
      <w:pPr>
        <w:pStyle w:val="Heading3"/>
        <w:rPr>
          <w:smallCaps/>
        </w:rPr>
      </w:pPr>
      <w:bookmarkStart w:id="502" w:name="_Toc494293060"/>
      <w:bookmarkStart w:id="503" w:name="_Toc520300800"/>
      <w:bookmarkStart w:id="504" w:name="_Toc520822996"/>
      <w:bookmarkStart w:id="505" w:name="_Toc520911041"/>
      <w:bookmarkStart w:id="506" w:name="_Toc520911422"/>
      <w:bookmarkStart w:id="507" w:name="_Toc154068821"/>
      <w:r w:rsidRPr="00982558">
        <w:t>Severance and Subdivision Agreement Conditions</w:t>
      </w:r>
      <w:bookmarkEnd w:id="502"/>
      <w:bookmarkEnd w:id="503"/>
      <w:bookmarkEnd w:id="504"/>
      <w:bookmarkEnd w:id="505"/>
      <w:bookmarkEnd w:id="506"/>
      <w:bookmarkEnd w:id="507"/>
    </w:p>
    <w:p w14:paraId="0C1CBAE4" w14:textId="77777777" w:rsidR="00B74F67" w:rsidRPr="00982558" w:rsidRDefault="00B74F67" w:rsidP="00B74F67">
      <w:pPr>
        <w:pStyle w:val="BodyText125"/>
      </w:pPr>
      <w:r w:rsidRPr="00982558">
        <w:t xml:space="preserve">Section 59 of the </w:t>
      </w:r>
      <w:r>
        <w:t>D.C.A.</w:t>
      </w:r>
      <w:r w:rsidRPr="00982558">
        <w:t xml:space="preserve"> prevents a </w:t>
      </w:r>
      <w:r w:rsidR="007918A5">
        <w:t>m</w:t>
      </w:r>
      <w:r w:rsidRPr="00982558">
        <w:t>unicipality from imposing</w:t>
      </w:r>
      <w:r w:rsidR="00694A7B">
        <w:t>,</w:t>
      </w:r>
      <w:r w:rsidRPr="00982558">
        <w:t xml:space="preserve"> directly or indirectly, a charge related to development or a requirement to construct a service related to development, by way of a condition or agreement under s</w:t>
      </w:r>
      <w:r w:rsidR="00680FF6">
        <w:t xml:space="preserve">ection </w:t>
      </w:r>
      <w:r w:rsidRPr="00982558">
        <w:t>51 or s</w:t>
      </w:r>
      <w:r w:rsidR="00680FF6">
        <w:t xml:space="preserve">ection </w:t>
      </w:r>
      <w:r w:rsidRPr="00982558">
        <w:t xml:space="preserve">53 of the </w:t>
      </w:r>
      <w:r w:rsidRPr="00806780">
        <w:rPr>
          <w:i/>
        </w:rPr>
        <w:t>Planning Act</w:t>
      </w:r>
      <w:r w:rsidRPr="00982558">
        <w:t>, except for:</w:t>
      </w:r>
    </w:p>
    <w:p w14:paraId="453A691C" w14:textId="77777777" w:rsidR="00B74F67" w:rsidRPr="00982558" w:rsidRDefault="00B74F67" w:rsidP="00B74F67">
      <w:pPr>
        <w:pStyle w:val="BodyTextbullets125"/>
      </w:pPr>
      <w:r w:rsidRPr="00982558">
        <w:t xml:space="preserve">“local services, related to a plan of subdivision or within the area to which the plan relates, to be installed or paid for by the owner as a condition of approval under section 51 of the </w:t>
      </w:r>
      <w:r w:rsidRPr="00806780">
        <w:rPr>
          <w:i/>
        </w:rPr>
        <w:t>Planning Act</w:t>
      </w:r>
      <w:r w:rsidRPr="00234399">
        <w:t>;</w:t>
      </w:r>
      <w:r w:rsidRPr="00982558">
        <w:t>” and</w:t>
      </w:r>
    </w:p>
    <w:p w14:paraId="6CDF3E6C" w14:textId="77777777" w:rsidR="00B74F67" w:rsidRPr="00982558" w:rsidRDefault="00B74F67" w:rsidP="00B74F67">
      <w:pPr>
        <w:pStyle w:val="BodyTextbullets125"/>
      </w:pPr>
      <w:r w:rsidRPr="00982558">
        <w:t xml:space="preserve">“local services to be installed or paid for by the owner as a condition of approval under </w:t>
      </w:r>
      <w:r w:rsidR="00234399">
        <w:t>s</w:t>
      </w:r>
      <w:r w:rsidRPr="00982558">
        <w:t xml:space="preserve">ection 53 of the </w:t>
      </w:r>
      <w:r w:rsidRPr="00806780">
        <w:rPr>
          <w:i/>
        </w:rPr>
        <w:t>Planning Act</w:t>
      </w:r>
      <w:r w:rsidRPr="00234399">
        <w:t>.</w:t>
      </w:r>
      <w:r w:rsidRPr="00982558">
        <w:t>”</w:t>
      </w:r>
    </w:p>
    <w:p w14:paraId="4B6A9A9D" w14:textId="77777777" w:rsidR="00B74F67" w:rsidRPr="00387A9B" w:rsidRDefault="00B74F67" w:rsidP="00B74F67">
      <w:pPr>
        <w:pStyle w:val="BodyText125"/>
      </w:pPr>
      <w:r w:rsidRPr="00982558">
        <w:t>It is also noted that s</w:t>
      </w:r>
      <w:r w:rsidR="00680FF6">
        <w:t xml:space="preserve">ubsection </w:t>
      </w:r>
      <w:r w:rsidRPr="00982558">
        <w:t>59</w:t>
      </w:r>
      <w:r w:rsidR="00680FF6">
        <w:t xml:space="preserve"> </w:t>
      </w:r>
      <w:r w:rsidRPr="00982558">
        <w:t xml:space="preserve">(4) of the </w:t>
      </w:r>
      <w:r>
        <w:t>D.C.A.</w:t>
      </w:r>
      <w:r w:rsidRPr="00982558">
        <w:t xml:space="preserve"> requires that the municipal approval authority for a draft plan of subdivision under s</w:t>
      </w:r>
      <w:r w:rsidR="00680FF6">
        <w:t xml:space="preserve">ubsection </w:t>
      </w:r>
      <w:r w:rsidRPr="00982558">
        <w:t>51</w:t>
      </w:r>
      <w:r w:rsidR="00680FF6">
        <w:t xml:space="preserve"> </w:t>
      </w:r>
      <w:r w:rsidRPr="00982558">
        <w:t xml:space="preserve">(31) of the </w:t>
      </w:r>
      <w:r w:rsidRPr="00806780">
        <w:rPr>
          <w:i/>
        </w:rPr>
        <w:t>Planning Act</w:t>
      </w:r>
      <w:r w:rsidRPr="00982558">
        <w:rPr>
          <w:i/>
          <w:iCs/>
        </w:rPr>
        <w:t>,</w:t>
      </w:r>
      <w:r w:rsidRPr="00982558">
        <w:t xml:space="preserve"> use its power to impose conditions to ensure that the first purchaser of newly subdivided land is informed of all the </w:t>
      </w:r>
      <w:r>
        <w:t>D.C.</w:t>
      </w:r>
      <w:r w:rsidRPr="00982558">
        <w:t xml:space="preserve">s related to the development, at the time the land is </w:t>
      </w:r>
      <w:r w:rsidRPr="00387A9B">
        <w:t>transferred.</w:t>
      </w:r>
    </w:p>
    <w:p w14:paraId="53BA49BB" w14:textId="1AC2947C" w:rsidR="00B74F67" w:rsidRPr="00387A9B" w:rsidRDefault="00B74F67" w:rsidP="00B74F67">
      <w:pPr>
        <w:pStyle w:val="BodyText125"/>
      </w:pPr>
      <w:r w:rsidRPr="00387A9B">
        <w:t xml:space="preserve">In this regard, if the </w:t>
      </w:r>
      <w:r w:rsidR="00A1355F" w:rsidRPr="00387A9B">
        <w:t>City</w:t>
      </w:r>
      <w:r w:rsidRPr="00387A9B">
        <w:t xml:space="preserve"> in question is a commenting agency, in order to comply with subsection 59</w:t>
      </w:r>
      <w:r w:rsidR="00A31451" w:rsidRPr="00387A9B">
        <w:t xml:space="preserve"> </w:t>
      </w:r>
      <w:r w:rsidRPr="00387A9B">
        <w:t xml:space="preserve">(4) of the </w:t>
      </w:r>
      <w:r w:rsidRPr="00387A9B">
        <w:rPr>
          <w:iCs/>
        </w:rPr>
        <w:t>D.C.A.</w:t>
      </w:r>
      <w:r w:rsidRPr="00387A9B">
        <w:t xml:space="preserve"> it would need to provide to the approval authority, information regarding the applicable </w:t>
      </w:r>
      <w:r w:rsidR="00A1355F" w:rsidRPr="00387A9B">
        <w:t>City</w:t>
      </w:r>
      <w:r w:rsidRPr="00387A9B">
        <w:t xml:space="preserve"> D.C.s related to the site.</w:t>
      </w:r>
    </w:p>
    <w:p w14:paraId="2CAB7CD3" w14:textId="2FF62554" w:rsidR="00B74F67" w:rsidRPr="00387A9B" w:rsidRDefault="00B74F67" w:rsidP="00B74F67">
      <w:pPr>
        <w:pStyle w:val="BodyText125"/>
      </w:pPr>
      <w:r w:rsidRPr="00387A9B">
        <w:t xml:space="preserve">If the </w:t>
      </w:r>
      <w:r w:rsidR="00A1355F" w:rsidRPr="00387A9B">
        <w:t>City</w:t>
      </w:r>
      <w:r w:rsidRPr="00387A9B">
        <w:t xml:space="preserve"> is an approval authority for the purposes of </w:t>
      </w:r>
      <w:r w:rsidR="00E16E86" w:rsidRPr="00387A9B">
        <w:t xml:space="preserve">section </w:t>
      </w:r>
      <w:r w:rsidRPr="00387A9B">
        <w:t xml:space="preserve">51 of the </w:t>
      </w:r>
      <w:r w:rsidRPr="00387A9B">
        <w:rPr>
          <w:i/>
        </w:rPr>
        <w:t>Planning Act</w:t>
      </w:r>
      <w:r w:rsidRPr="00387A9B">
        <w:t xml:space="preserve">, it would be responsible to ensure that it collects information from all entities </w:t>
      </w:r>
      <w:r w:rsidR="00694A7B" w:rsidRPr="00387A9B">
        <w:t xml:space="preserve">that </w:t>
      </w:r>
      <w:r w:rsidRPr="00387A9B">
        <w:t>can impose a D.C.</w:t>
      </w:r>
    </w:p>
    <w:p w14:paraId="49E08816" w14:textId="77777777" w:rsidR="00CE1D8C" w:rsidRDefault="00B74F67" w:rsidP="00B74F67">
      <w:pPr>
        <w:pStyle w:val="BodyText125"/>
        <w:rPr>
          <w:szCs w:val="23"/>
        </w:rPr>
        <w:sectPr w:rsidR="00CE1D8C" w:rsidSect="00CE12B2">
          <w:footerReference w:type="default" r:id="rId87"/>
          <w:footerReference w:type="first" r:id="rId88"/>
          <w:footnotePr>
            <w:numRestart w:val="eachPage"/>
          </w:footnotePr>
          <w:pgSz w:w="12240" w:h="15840" w:code="1"/>
          <w:pgMar w:top="1440" w:right="1440" w:bottom="1440" w:left="1440" w:header="432" w:footer="619" w:gutter="0"/>
          <w:pgNumType w:start="1" w:chapStyle="1"/>
          <w:cols w:space="708"/>
          <w:titlePg/>
          <w:docGrid w:linePitch="360"/>
        </w:sectPr>
      </w:pPr>
      <w:r w:rsidRPr="00387A9B">
        <w:rPr>
          <w:szCs w:val="23"/>
        </w:rPr>
        <w:t>The most effective way to ensure that purchasers are aware of this condition would be to require it as a provision in a registered subdivision agreement, so that any purchaser of the property would be aware of the charges</w:t>
      </w:r>
      <w:r w:rsidRPr="00982558">
        <w:rPr>
          <w:szCs w:val="23"/>
        </w:rPr>
        <w:t xml:space="preserve"> at the time the title was searched prior to closing a transaction conveying the lands.</w:t>
      </w:r>
    </w:p>
    <w:p w14:paraId="45D1A13D" w14:textId="7516D1F5" w:rsidR="00215CE1" w:rsidRPr="00047E20" w:rsidRDefault="001E2D51" w:rsidP="00215CE1">
      <w:pPr>
        <w:sectPr w:rsidR="00215CE1" w:rsidRPr="00047E20" w:rsidSect="00CE12B2">
          <w:headerReference w:type="default" r:id="rId89"/>
          <w:footerReference w:type="default" r:id="rId90"/>
          <w:headerReference w:type="first" r:id="rId91"/>
          <w:footerReference w:type="first" r:id="rId92"/>
          <w:pgSz w:w="12240" w:h="15840" w:code="1"/>
          <w:pgMar w:top="0" w:right="0" w:bottom="0" w:left="0" w:header="0" w:footer="619" w:gutter="0"/>
          <w:cols w:space="708"/>
          <w:titlePg/>
          <w:docGrid w:linePitch="360"/>
        </w:sectPr>
      </w:pPr>
      <w:r>
        <w:rPr>
          <w:noProof/>
        </w:rPr>
        <mc:AlternateContent>
          <mc:Choice Requires="wps">
            <w:drawing>
              <wp:inline distT="0" distB="0" distL="0" distR="0" wp14:anchorId="20648926" wp14:editId="46CE581B">
                <wp:extent cx="7772400" cy="5943600"/>
                <wp:effectExtent l="0" t="0" r="0" b="0"/>
                <wp:docPr id="2"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94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C1034" w14:textId="77777777" w:rsidR="00D931C2" w:rsidRPr="00AC3711" w:rsidRDefault="00D931C2" w:rsidP="00215CE1">
                            <w:pPr>
                              <w:pStyle w:val="Dividers"/>
                            </w:pPr>
                            <w:r>
                              <w:t>Appendices</w:t>
                            </w:r>
                          </w:p>
                        </w:txbxContent>
                      </wps:txbx>
                      <wps:bodyPr rot="0" vert="horz" wrap="square" lIns="91440" tIns="45720" rIns="91440" bIns="45720" anchor="t" anchorCtr="0" upright="1">
                        <a:noAutofit/>
                      </wps:bodyPr>
                    </wps:wsp>
                  </a:graphicData>
                </a:graphic>
              </wp:inline>
            </w:drawing>
          </mc:Choice>
          <mc:Fallback>
            <w:pict>
              <v:shape w14:anchorId="20648926" id="Text Box 3" o:spid="_x0000_s1029" type="#_x0000_t202" alt="&quot;&quot;" style="width:612pt;height:4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" filled="f" stroked="f">
                <v:textbox>
                  <w:txbxContent>
                    <w:p w14:paraId="7FEC1034" w14:textId="77777777" w:rsidR="00D931C2" w:rsidRPr="00AC3711" w:rsidRDefault="00D931C2" w:rsidP="00215CE1">
                      <w:pPr>
                        <w:pStyle w:val="Dividers"/>
                      </w:pPr>
                      <w:r>
                        <w:t>Appendices</w:t>
                      </w:r>
                    </w:p>
                  </w:txbxContent>
                </v:textbox>
                <w10:anchorlock/>
              </v:shape>
            </w:pict>
          </mc:Fallback>
        </mc:AlternateContent>
      </w:r>
    </w:p>
    <w:p w14:paraId="1623748F" w14:textId="77777777" w:rsidR="00750DB7" w:rsidRPr="00DC5440" w:rsidRDefault="00750DB7" w:rsidP="003930AA">
      <w:pPr>
        <w:pStyle w:val="APPdivider"/>
        <w:sectPr w:rsidR="00750DB7" w:rsidRPr="00DC5440" w:rsidSect="00CE12B2">
          <w:headerReference w:type="default" r:id="rId93"/>
          <w:footerReference w:type="default" r:id="rId94"/>
          <w:headerReference w:type="first" r:id="rId95"/>
          <w:footerReference w:type="first" r:id="rId96"/>
          <w:footnotePr>
            <w:numRestart w:val="eachPage"/>
          </w:footnotePr>
          <w:pgSz w:w="12240" w:h="15840" w:code="1"/>
          <w:pgMar w:top="1440" w:right="1440" w:bottom="1440" w:left="1440" w:header="432" w:footer="619" w:gutter="0"/>
          <w:pgNumType w:start="1"/>
          <w:cols w:space="708"/>
          <w:titlePg/>
          <w:docGrid w:linePitch="360"/>
        </w:sectPr>
      </w:pPr>
      <w:bookmarkStart w:id="508" w:name="_Toc154068822"/>
      <w:r>
        <w:t>Appendix A</w:t>
      </w:r>
      <w:r w:rsidR="009E2107">
        <w:tab/>
      </w:r>
      <w:r w:rsidR="00620725">
        <w:br/>
      </w:r>
      <w:r w:rsidRPr="00DC5440">
        <w:rPr>
          <w:rStyle w:val="APPDividerTitleChar"/>
          <w:color w:val="000000"/>
        </w:rPr>
        <w:t>Background Information on Residential and Non-Residential Growth Forecast</w:t>
      </w:r>
      <w:bookmarkEnd w:id="508"/>
      <w:r w:rsidRPr="00DC5440">
        <w:rPr>
          <w:rStyle w:val="APPDividerTitleChar"/>
          <w:color w:val="000000"/>
        </w:rPr>
        <w:t xml:space="preserve"> </w:t>
      </w:r>
    </w:p>
    <w:p w14:paraId="1105C3C0" w14:textId="77777777" w:rsidR="001346DD" w:rsidRPr="0058753F" w:rsidRDefault="001346DD" w:rsidP="001346DD">
      <w:pPr>
        <w:pStyle w:val="FigureTableTitles"/>
      </w:pPr>
      <w:r w:rsidRPr="0058753F">
        <w:t>Schedule 1</w:t>
      </w:r>
    </w:p>
    <w:p w14:paraId="25335DB7" w14:textId="77777777" w:rsidR="001346DD" w:rsidRPr="0058753F" w:rsidRDefault="001346DD" w:rsidP="001346DD">
      <w:pPr>
        <w:pStyle w:val="FigureTableTitles"/>
      </w:pPr>
      <w:r>
        <w:t>City of Cambridge</w:t>
      </w:r>
    </w:p>
    <w:p w14:paraId="3E9EFB77" w14:textId="77777777" w:rsidR="001346DD" w:rsidRPr="0058753F" w:rsidRDefault="001346DD" w:rsidP="001346DD">
      <w:pPr>
        <w:pStyle w:val="FigureTableTitles"/>
      </w:pPr>
      <w:r w:rsidRPr="0058753F">
        <w:t>Residential Growth Forecast Summary</w:t>
      </w:r>
    </w:p>
    <w:p w14:paraId="7421D0BB" w14:textId="77777777" w:rsidR="001346DD" w:rsidRPr="0058753F" w:rsidRDefault="001346DD" w:rsidP="001346DD">
      <w:pPr>
        <w:pStyle w:val="BodyText125"/>
        <w:spacing w:after="0"/>
        <w:jc w:val="center"/>
      </w:pPr>
      <w:r w:rsidRPr="00FE2AF1">
        <w:rPr>
          <w:noProof/>
        </w:rPr>
        <w:drawing>
          <wp:inline distT="0" distB="0" distL="0" distR="0" wp14:anchorId="5BC9FF1D" wp14:editId="77BC8E48">
            <wp:extent cx="8229600" cy="2981325"/>
            <wp:effectExtent l="0" t="0" r="0" b="9525"/>
            <wp:docPr id="934212376" name="Picture 3" descr="This table shows the residential growth foreca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12376" name="Picture 3" descr="This table shows the residential growth forecast summar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29600" cy="2981325"/>
                    </a:xfrm>
                    <a:prstGeom prst="rect">
                      <a:avLst/>
                    </a:prstGeom>
                    <a:noFill/>
                    <a:ln>
                      <a:noFill/>
                    </a:ln>
                  </pic:spPr>
                </pic:pic>
              </a:graphicData>
            </a:graphic>
          </wp:inline>
        </w:drawing>
      </w:r>
    </w:p>
    <w:p w14:paraId="5051813B" w14:textId="77777777" w:rsidR="001346DD" w:rsidRPr="0058753F" w:rsidRDefault="001346DD" w:rsidP="001346DD">
      <w:pPr>
        <w:pStyle w:val="Sourcecaptions"/>
        <w:rPr>
          <w:sz w:val="18"/>
          <w:szCs w:val="20"/>
        </w:rPr>
      </w:pPr>
      <w:r w:rsidRPr="0058753F">
        <w:rPr>
          <w:sz w:val="18"/>
          <w:szCs w:val="20"/>
          <w:vertAlign w:val="superscript"/>
        </w:rPr>
        <w:t>[1]</w:t>
      </w:r>
      <w:r w:rsidRPr="0058753F">
        <w:rPr>
          <w:sz w:val="18"/>
          <w:szCs w:val="20"/>
        </w:rPr>
        <w:t xml:space="preserve"> Population includes the Census undercount estimated at approximately </w:t>
      </w:r>
      <w:r>
        <w:rPr>
          <w:sz w:val="18"/>
          <w:szCs w:val="20"/>
        </w:rPr>
        <w:t>3.4</w:t>
      </w:r>
      <w:r w:rsidRPr="0058753F">
        <w:rPr>
          <w:sz w:val="18"/>
          <w:szCs w:val="20"/>
        </w:rPr>
        <w:t>% and has been rounded.</w:t>
      </w:r>
    </w:p>
    <w:p w14:paraId="61D79278" w14:textId="77777777" w:rsidR="001346DD" w:rsidRPr="0058753F" w:rsidRDefault="001346DD" w:rsidP="001346DD">
      <w:pPr>
        <w:pStyle w:val="Sourcecaptions"/>
        <w:rPr>
          <w:sz w:val="18"/>
          <w:szCs w:val="20"/>
        </w:rPr>
      </w:pPr>
      <w:r w:rsidRPr="0058753F">
        <w:rPr>
          <w:sz w:val="18"/>
          <w:szCs w:val="20"/>
          <w:vertAlign w:val="superscript"/>
        </w:rPr>
        <w:t>[2]</w:t>
      </w:r>
      <w:r w:rsidRPr="0058753F">
        <w:rPr>
          <w:sz w:val="18"/>
          <w:szCs w:val="20"/>
        </w:rPr>
        <w:t xml:space="preserve"> Includes townhouses and apartments in duplexes.</w:t>
      </w:r>
    </w:p>
    <w:p w14:paraId="261ADDDC" w14:textId="77777777" w:rsidR="001346DD" w:rsidRDefault="001346DD" w:rsidP="001346DD">
      <w:pPr>
        <w:pStyle w:val="Sourcecaptions"/>
        <w:rPr>
          <w:sz w:val="18"/>
          <w:szCs w:val="20"/>
        </w:rPr>
      </w:pPr>
      <w:r w:rsidRPr="0058753F">
        <w:rPr>
          <w:sz w:val="18"/>
          <w:szCs w:val="20"/>
          <w:vertAlign w:val="superscript"/>
        </w:rPr>
        <w:t>[3]</w:t>
      </w:r>
      <w:r w:rsidRPr="0058753F">
        <w:rPr>
          <w:sz w:val="18"/>
          <w:szCs w:val="20"/>
        </w:rPr>
        <w:t xml:space="preserve"> Includes bachelor, 1-bedroom, and 2-bedroom+ apartment units.</w:t>
      </w:r>
    </w:p>
    <w:p w14:paraId="6FBE19B6" w14:textId="77777777" w:rsidR="001346DD" w:rsidRPr="0058753F" w:rsidRDefault="001346DD" w:rsidP="001346DD">
      <w:pPr>
        <w:pStyle w:val="Sourcecaptions"/>
        <w:rPr>
          <w:sz w:val="18"/>
          <w:szCs w:val="20"/>
        </w:rPr>
      </w:pPr>
      <w:r w:rsidRPr="0058753F">
        <w:rPr>
          <w:sz w:val="18"/>
          <w:szCs w:val="20"/>
          <w:u w:val="single"/>
        </w:rPr>
        <w:t>Notes</w:t>
      </w:r>
      <w:r w:rsidRPr="0058753F">
        <w:rPr>
          <w:sz w:val="18"/>
          <w:szCs w:val="20"/>
        </w:rPr>
        <w:t>:</w:t>
      </w:r>
    </w:p>
    <w:p w14:paraId="6AED3E52" w14:textId="77777777" w:rsidR="001346DD" w:rsidRPr="0058753F" w:rsidRDefault="001346DD" w:rsidP="001346DD">
      <w:pPr>
        <w:pStyle w:val="Sourcecaptions"/>
        <w:rPr>
          <w:sz w:val="18"/>
          <w:szCs w:val="20"/>
        </w:rPr>
      </w:pPr>
      <w:r w:rsidRPr="0058753F">
        <w:rPr>
          <w:sz w:val="18"/>
          <w:szCs w:val="20"/>
        </w:rPr>
        <w:t>Numbers may not add due to rounding.</w:t>
      </w:r>
    </w:p>
    <w:p w14:paraId="2A7CBC83" w14:textId="77777777" w:rsidR="001346DD" w:rsidRDefault="001346DD" w:rsidP="001346DD">
      <w:pPr>
        <w:pStyle w:val="Sourcecaptions"/>
        <w:rPr>
          <w:sz w:val="18"/>
          <w:szCs w:val="20"/>
          <w:lang w:val="en-CA"/>
        </w:rPr>
      </w:pPr>
      <w:r w:rsidRPr="00823790">
        <w:rPr>
          <w:sz w:val="18"/>
          <w:szCs w:val="20"/>
          <w:lang w:val="en-CA"/>
        </w:rPr>
        <w:t xml:space="preserve">Source: </w:t>
      </w:r>
      <w:r>
        <w:rPr>
          <w:sz w:val="18"/>
          <w:szCs w:val="20"/>
          <w:lang w:val="en-CA"/>
        </w:rPr>
        <w:t xml:space="preserve"> </w:t>
      </w:r>
      <w:r w:rsidRPr="00823790">
        <w:rPr>
          <w:sz w:val="18"/>
          <w:szCs w:val="20"/>
          <w:lang w:val="en-CA"/>
        </w:rPr>
        <w:t>Watson &amp; Associates Economists Ltd.</w:t>
      </w:r>
      <w:r>
        <w:rPr>
          <w:sz w:val="18"/>
          <w:szCs w:val="20"/>
          <w:lang w:val="en-CA"/>
        </w:rPr>
        <w:br w:type="page"/>
      </w:r>
    </w:p>
    <w:p w14:paraId="0E58B6A6" w14:textId="77777777" w:rsidR="001346DD" w:rsidRPr="005E2E5D" w:rsidRDefault="001346DD" w:rsidP="001346DD">
      <w:pPr>
        <w:pStyle w:val="FigureTableTitles"/>
      </w:pPr>
      <w:r w:rsidRPr="005E2E5D">
        <w:t xml:space="preserve">Figure </w:t>
      </w:r>
      <w:r>
        <w:t>1</w:t>
      </w:r>
    </w:p>
    <w:p w14:paraId="7C63B599" w14:textId="77777777" w:rsidR="001346DD" w:rsidRPr="005E2E5D" w:rsidRDefault="001346DD" w:rsidP="001346DD">
      <w:pPr>
        <w:pStyle w:val="FigureTableTitles"/>
      </w:pPr>
      <w:r>
        <w:t>City</w:t>
      </w:r>
      <w:r w:rsidRPr="005E2E5D">
        <w:t xml:space="preserve"> of </w:t>
      </w:r>
      <w:r>
        <w:t>Cambridge</w:t>
      </w:r>
    </w:p>
    <w:p w14:paraId="183AB0BC" w14:textId="77777777" w:rsidR="001346DD" w:rsidRPr="005E2E5D" w:rsidRDefault="001346DD" w:rsidP="001346DD">
      <w:pPr>
        <w:pStyle w:val="FigureTableTitles"/>
      </w:pPr>
      <w:r w:rsidRPr="005E2E5D">
        <w:t xml:space="preserve">Annual Housing Forecast </w:t>
      </w:r>
      <w:r w:rsidRPr="005E2E5D">
        <w:rPr>
          <w:vertAlign w:val="superscript"/>
        </w:rPr>
        <w:t>[1]</w:t>
      </w:r>
    </w:p>
    <w:p w14:paraId="1E9AE368" w14:textId="77777777" w:rsidR="001346DD" w:rsidRPr="005E2E5D" w:rsidRDefault="001346DD" w:rsidP="00B57375">
      <w:pPr>
        <w:pStyle w:val="Captions"/>
        <w:rPr>
          <w:lang w:val="en-US"/>
        </w:rPr>
      </w:pPr>
      <w:r w:rsidRPr="00350444">
        <w:rPr>
          <w:noProof/>
        </w:rPr>
        <w:drawing>
          <wp:inline distT="0" distB="0" distL="0" distR="0" wp14:anchorId="71D65337" wp14:editId="35356730">
            <wp:extent cx="8229600" cy="3355975"/>
            <wp:effectExtent l="0" t="0" r="0" b="0"/>
            <wp:docPr id="970407628" name="Picture 4" descr="This table shows the annual housing fore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07628" name="Picture 4" descr="This table shows the annual housing forecas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229600" cy="3355975"/>
                    </a:xfrm>
                    <a:prstGeom prst="rect">
                      <a:avLst/>
                    </a:prstGeom>
                    <a:noFill/>
                    <a:ln>
                      <a:noFill/>
                    </a:ln>
                  </pic:spPr>
                </pic:pic>
              </a:graphicData>
            </a:graphic>
          </wp:inline>
        </w:drawing>
      </w:r>
    </w:p>
    <w:p w14:paraId="3712CEB8" w14:textId="77777777" w:rsidR="001346DD" w:rsidRPr="005E2E5D" w:rsidRDefault="001346DD" w:rsidP="001346DD">
      <w:pPr>
        <w:pStyle w:val="Sourcecaptions"/>
      </w:pPr>
      <w:r w:rsidRPr="005E2E5D">
        <w:rPr>
          <w:vertAlign w:val="superscript"/>
        </w:rPr>
        <w:t>[1]</w:t>
      </w:r>
      <w:r w:rsidRPr="005E2E5D">
        <w:t xml:space="preserve">  Growth forecast represents calendar year.</w:t>
      </w:r>
    </w:p>
    <w:p w14:paraId="67913CB0" w14:textId="77777777" w:rsidR="001346DD" w:rsidRPr="0058753F" w:rsidRDefault="001346DD" w:rsidP="001346DD">
      <w:pPr>
        <w:pStyle w:val="Sourcecaptions"/>
      </w:pPr>
      <w:r w:rsidRPr="005E2E5D">
        <w:t xml:space="preserve">Source: </w:t>
      </w:r>
      <w:r w:rsidRPr="00F83E03">
        <w:t>Historical housing activity derived from City of Cambridge building permit data, 2013 to 2022, and 2023 estimated based on Statistics Canada June year-to-date building permit data for the City of Cambridge, by Watson &amp; Associates Economists Ltd</w:t>
      </w:r>
      <w:r w:rsidRPr="005E2E5D">
        <w:t>.</w:t>
      </w:r>
    </w:p>
    <w:p w14:paraId="49D20F98" w14:textId="77777777" w:rsidR="001346DD" w:rsidRPr="0058753F" w:rsidRDefault="001346DD" w:rsidP="001346DD">
      <w:pPr>
        <w:pStyle w:val="FigureTableTitles"/>
      </w:pPr>
      <w:r w:rsidRPr="0058753F">
        <w:t>Schedule 2</w:t>
      </w:r>
    </w:p>
    <w:p w14:paraId="1AAD0407" w14:textId="77777777" w:rsidR="001346DD" w:rsidRPr="0058753F" w:rsidRDefault="001346DD" w:rsidP="001346DD">
      <w:pPr>
        <w:pStyle w:val="FigureTableTitles"/>
      </w:pPr>
      <w:r>
        <w:t>City of Cambridge</w:t>
      </w:r>
    </w:p>
    <w:p w14:paraId="7A8030CB" w14:textId="77777777" w:rsidR="001346DD" w:rsidRPr="0058753F" w:rsidRDefault="001346DD" w:rsidP="001346DD">
      <w:pPr>
        <w:pStyle w:val="FigureTableTitles"/>
      </w:pPr>
      <w:r w:rsidRPr="0058753F">
        <w:t>Estimate of the Anticipated Amount, Type and Location of</w:t>
      </w:r>
    </w:p>
    <w:p w14:paraId="22DCDB0D" w14:textId="77777777" w:rsidR="001346DD" w:rsidRPr="0058753F" w:rsidRDefault="001346DD" w:rsidP="001346DD">
      <w:pPr>
        <w:pStyle w:val="FigureTableTitles"/>
      </w:pPr>
      <w:r w:rsidRPr="0058753F">
        <w:t>Residential Development for Which Development Charges can be Imposed</w:t>
      </w:r>
    </w:p>
    <w:p w14:paraId="0DCC4C94" w14:textId="77777777" w:rsidR="001346DD" w:rsidRPr="0058753F" w:rsidRDefault="001346DD" w:rsidP="001346DD">
      <w:pPr>
        <w:pStyle w:val="BodyText125"/>
      </w:pPr>
      <w:r w:rsidRPr="00350444">
        <w:rPr>
          <w:noProof/>
        </w:rPr>
        <w:drawing>
          <wp:inline distT="0" distB="0" distL="0" distR="0" wp14:anchorId="22DE0A34" wp14:editId="21231419">
            <wp:extent cx="8229600" cy="1383665"/>
            <wp:effectExtent l="0" t="0" r="0" b="6985"/>
            <wp:docPr id="1645204120" name="Picture 5" descr="This table shows the residential growth forecas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04120" name="Picture 5" descr="This table shows the residential growth forecast summar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29600" cy="1383665"/>
                    </a:xfrm>
                    <a:prstGeom prst="rect">
                      <a:avLst/>
                    </a:prstGeom>
                    <a:noFill/>
                    <a:ln>
                      <a:noFill/>
                    </a:ln>
                  </pic:spPr>
                </pic:pic>
              </a:graphicData>
            </a:graphic>
          </wp:inline>
        </w:drawing>
      </w:r>
    </w:p>
    <w:p w14:paraId="71A28ED9" w14:textId="77777777" w:rsidR="001346DD" w:rsidRPr="008D6C44" w:rsidRDefault="001346DD" w:rsidP="001346DD">
      <w:pPr>
        <w:pStyle w:val="Sourcecaptions"/>
        <w:rPr>
          <w:sz w:val="18"/>
          <w:szCs w:val="20"/>
        </w:rPr>
      </w:pPr>
      <w:r w:rsidRPr="008D6C44">
        <w:rPr>
          <w:sz w:val="18"/>
          <w:szCs w:val="20"/>
          <w:vertAlign w:val="superscript"/>
        </w:rPr>
        <w:t>[1]</w:t>
      </w:r>
      <w:r w:rsidRPr="008D6C44">
        <w:rPr>
          <w:sz w:val="18"/>
          <w:szCs w:val="20"/>
        </w:rPr>
        <w:t xml:space="preserve"> Includes townhouses and apartments in duplexes.</w:t>
      </w:r>
    </w:p>
    <w:p w14:paraId="044F06CF" w14:textId="77777777" w:rsidR="001346DD" w:rsidRPr="008D6C44" w:rsidRDefault="001346DD" w:rsidP="001346DD">
      <w:pPr>
        <w:pStyle w:val="Sourcecaptions"/>
        <w:rPr>
          <w:sz w:val="18"/>
          <w:szCs w:val="20"/>
        </w:rPr>
      </w:pPr>
      <w:r w:rsidRPr="008D6C44">
        <w:rPr>
          <w:sz w:val="18"/>
          <w:szCs w:val="20"/>
          <w:vertAlign w:val="superscript"/>
        </w:rPr>
        <w:t>[2]</w:t>
      </w:r>
      <w:r w:rsidRPr="008D6C44">
        <w:rPr>
          <w:sz w:val="18"/>
          <w:szCs w:val="20"/>
        </w:rPr>
        <w:t xml:space="preserve"> Includes bachelor, 1-bedroom, and 2-bedroom+ apartment units.</w:t>
      </w:r>
    </w:p>
    <w:p w14:paraId="66C4DCEF" w14:textId="77777777" w:rsidR="001346DD" w:rsidRPr="008D6C44" w:rsidRDefault="001346DD" w:rsidP="001346DD">
      <w:pPr>
        <w:pStyle w:val="Sourcecaptions"/>
        <w:rPr>
          <w:sz w:val="18"/>
          <w:szCs w:val="20"/>
        </w:rPr>
      </w:pPr>
      <w:r w:rsidRPr="008D6C44">
        <w:rPr>
          <w:sz w:val="18"/>
          <w:szCs w:val="20"/>
        </w:rPr>
        <w:t>Source:  Watson &amp; Associates Economists Ltd.</w:t>
      </w:r>
    </w:p>
    <w:p w14:paraId="295C9D55" w14:textId="77777777" w:rsidR="001346DD" w:rsidRPr="0058753F" w:rsidRDefault="001346DD" w:rsidP="001346DD">
      <w:pPr>
        <w:pStyle w:val="FigureTableTitles"/>
        <w:sectPr w:rsidR="001346DD" w:rsidRPr="0058753F" w:rsidSect="0084196F">
          <w:footnotePr>
            <w:numRestart w:val="eachPage"/>
          </w:footnotePr>
          <w:pgSz w:w="15840" w:h="12240" w:orient="landscape" w:code="1"/>
          <w:pgMar w:top="1440" w:right="1440" w:bottom="1440" w:left="1440" w:header="432" w:footer="619" w:gutter="0"/>
          <w:cols w:space="708"/>
          <w:titlePg/>
          <w:docGrid w:linePitch="360"/>
        </w:sectPr>
      </w:pPr>
    </w:p>
    <w:p w14:paraId="610C9DEB" w14:textId="77777777" w:rsidR="001346DD" w:rsidRPr="0058753F" w:rsidRDefault="001346DD" w:rsidP="001346DD">
      <w:pPr>
        <w:pStyle w:val="FigureTableTitles"/>
        <w:rPr>
          <w:lang w:eastAsia="ja-JP"/>
        </w:rPr>
      </w:pPr>
      <w:r w:rsidRPr="0058753F">
        <w:rPr>
          <w:lang w:eastAsia="ja-JP"/>
        </w:rPr>
        <w:t>Schedule 3</w:t>
      </w:r>
    </w:p>
    <w:p w14:paraId="3C132A9F" w14:textId="77777777" w:rsidR="001346DD" w:rsidRPr="0058753F" w:rsidRDefault="001346DD" w:rsidP="001346DD">
      <w:pPr>
        <w:pStyle w:val="FigureTableTitles"/>
        <w:rPr>
          <w:lang w:eastAsia="ja-JP"/>
        </w:rPr>
      </w:pPr>
      <w:r>
        <w:rPr>
          <w:lang w:eastAsia="ja-JP"/>
        </w:rPr>
        <w:t>City of Cambridge</w:t>
      </w:r>
    </w:p>
    <w:p w14:paraId="4656DEF7" w14:textId="77777777" w:rsidR="001346DD" w:rsidRPr="0058753F" w:rsidRDefault="001346DD" w:rsidP="001346DD">
      <w:pPr>
        <w:pStyle w:val="FigureTableTitles"/>
        <w:rPr>
          <w:lang w:eastAsia="ja-JP"/>
        </w:rPr>
      </w:pPr>
      <w:r w:rsidRPr="0058753F">
        <w:rPr>
          <w:lang w:eastAsia="ja-JP"/>
        </w:rPr>
        <w:t>Current Year Growth Forecast</w:t>
      </w:r>
    </w:p>
    <w:p w14:paraId="0DB49555" w14:textId="77777777" w:rsidR="001346DD" w:rsidRPr="0058753F" w:rsidRDefault="001346DD" w:rsidP="001346DD">
      <w:pPr>
        <w:pStyle w:val="FigureTableTitles"/>
        <w:rPr>
          <w:lang w:eastAsia="ja-JP"/>
        </w:rPr>
      </w:pPr>
      <w:r w:rsidRPr="0058753F">
        <w:rPr>
          <w:lang w:eastAsia="ja-JP"/>
        </w:rPr>
        <w:t xml:space="preserve">Mid-2021 to </w:t>
      </w:r>
      <w:r>
        <w:rPr>
          <w:lang w:eastAsia="ja-JP"/>
        </w:rPr>
        <w:t>Late</w:t>
      </w:r>
      <w:r w:rsidRPr="0058753F">
        <w:rPr>
          <w:lang w:eastAsia="ja-JP"/>
        </w:rPr>
        <w:t>-202</w:t>
      </w:r>
      <w:r>
        <w:rPr>
          <w:lang w:eastAsia="ja-JP"/>
        </w:rPr>
        <w:t>3</w:t>
      </w:r>
    </w:p>
    <w:p w14:paraId="63D18B0F" w14:textId="77777777" w:rsidR="001346DD" w:rsidRPr="0058753F" w:rsidRDefault="001346DD" w:rsidP="001346DD">
      <w:pPr>
        <w:pStyle w:val="BodyText125"/>
        <w:jc w:val="center"/>
        <w:rPr>
          <w:lang w:eastAsia="ja-JP"/>
        </w:rPr>
      </w:pPr>
      <w:r w:rsidRPr="00F15FFB">
        <w:rPr>
          <w:noProof/>
        </w:rPr>
        <w:drawing>
          <wp:inline distT="0" distB="0" distL="0" distR="0" wp14:anchorId="40E71D16" wp14:editId="1B14F03F">
            <wp:extent cx="5393738" cy="6858000"/>
            <wp:effectExtent l="0" t="0" r="0" b="0"/>
            <wp:docPr id="924966119" name="Picture 7" descr="This table outlines the current year growth forecast from mid 2021 to lat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66119" name="Picture 7" descr="This table outlines the current year growth forecast from mid 2021 to late 202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3738" cy="6858000"/>
                    </a:xfrm>
                    <a:prstGeom prst="rect">
                      <a:avLst/>
                    </a:prstGeom>
                    <a:noFill/>
                    <a:ln>
                      <a:noFill/>
                    </a:ln>
                  </pic:spPr>
                </pic:pic>
              </a:graphicData>
            </a:graphic>
          </wp:inline>
        </w:drawing>
      </w:r>
      <w:r w:rsidRPr="0058753F">
        <w:rPr>
          <w:lang w:eastAsia="ja-JP"/>
        </w:rPr>
        <w:br w:type="page"/>
      </w:r>
    </w:p>
    <w:p w14:paraId="78D0AC97" w14:textId="77777777" w:rsidR="001346DD" w:rsidRPr="0058753F" w:rsidRDefault="001346DD" w:rsidP="001346DD">
      <w:pPr>
        <w:pStyle w:val="FigureTableTitles"/>
        <w:rPr>
          <w:lang w:eastAsia="ja-JP"/>
        </w:rPr>
      </w:pPr>
      <w:r w:rsidRPr="0058753F">
        <w:rPr>
          <w:lang w:eastAsia="ja-JP"/>
        </w:rPr>
        <w:t>Schedule 4</w:t>
      </w:r>
    </w:p>
    <w:p w14:paraId="787A1D81" w14:textId="77777777" w:rsidR="001346DD" w:rsidRPr="0058753F" w:rsidRDefault="001346DD" w:rsidP="001346DD">
      <w:pPr>
        <w:pStyle w:val="FigureTableTitles"/>
        <w:rPr>
          <w:lang w:eastAsia="ja-JP"/>
        </w:rPr>
      </w:pPr>
      <w:r>
        <w:rPr>
          <w:lang w:eastAsia="ja-JP"/>
        </w:rPr>
        <w:t>City of Cambridge</w:t>
      </w:r>
    </w:p>
    <w:p w14:paraId="7FCAD96B" w14:textId="77777777" w:rsidR="001346DD" w:rsidRPr="0058753F" w:rsidRDefault="001346DD" w:rsidP="001346DD">
      <w:pPr>
        <w:pStyle w:val="FigureTableTitles"/>
        <w:rPr>
          <w:lang w:eastAsia="ja-JP"/>
        </w:rPr>
      </w:pPr>
      <w:r w:rsidRPr="0058753F">
        <w:rPr>
          <w:lang w:eastAsia="ja-JP"/>
        </w:rPr>
        <w:t>10-Year Growth Forecast</w:t>
      </w:r>
    </w:p>
    <w:p w14:paraId="2403CBF1" w14:textId="77777777" w:rsidR="001346DD" w:rsidRPr="0058753F" w:rsidRDefault="001346DD" w:rsidP="001346DD">
      <w:pPr>
        <w:pStyle w:val="FigureTableTitles"/>
        <w:rPr>
          <w:lang w:eastAsia="ja-JP"/>
        </w:rPr>
      </w:pPr>
      <w:r>
        <w:rPr>
          <w:lang w:eastAsia="ja-JP"/>
        </w:rPr>
        <w:t>Late-2023</w:t>
      </w:r>
      <w:r w:rsidRPr="0058753F">
        <w:rPr>
          <w:lang w:eastAsia="ja-JP"/>
        </w:rPr>
        <w:t xml:space="preserve"> to </w:t>
      </w:r>
      <w:r>
        <w:rPr>
          <w:lang w:eastAsia="ja-JP"/>
        </w:rPr>
        <w:t>Late-2033</w:t>
      </w:r>
    </w:p>
    <w:p w14:paraId="40B3AFF2" w14:textId="77777777" w:rsidR="001346DD" w:rsidRPr="0058753F" w:rsidRDefault="001346DD" w:rsidP="001346DD">
      <w:pPr>
        <w:pStyle w:val="BodyText125"/>
        <w:jc w:val="center"/>
        <w:rPr>
          <w:lang w:eastAsia="ja-JP"/>
        </w:rPr>
      </w:pPr>
      <w:r w:rsidRPr="00F15FFB">
        <w:rPr>
          <w:noProof/>
        </w:rPr>
        <w:drawing>
          <wp:inline distT="0" distB="0" distL="0" distR="0" wp14:anchorId="0ED14E45" wp14:editId="4C8EC409">
            <wp:extent cx="5317334" cy="6858000"/>
            <wp:effectExtent l="0" t="0" r="0" b="0"/>
            <wp:docPr id="292492538" name="Picture 8" descr="This table outlines the 10-year growth forecast from late 2023 to lat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92538" name="Picture 8" descr="This table outlines the 10-year growth forecast from late 2023 to late 20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17334" cy="6858000"/>
                    </a:xfrm>
                    <a:prstGeom prst="rect">
                      <a:avLst/>
                    </a:prstGeom>
                    <a:noFill/>
                    <a:ln>
                      <a:noFill/>
                    </a:ln>
                  </pic:spPr>
                </pic:pic>
              </a:graphicData>
            </a:graphic>
          </wp:inline>
        </w:drawing>
      </w:r>
    </w:p>
    <w:p w14:paraId="4871B71F" w14:textId="77777777" w:rsidR="001346DD" w:rsidRPr="0058753F" w:rsidRDefault="001346DD" w:rsidP="001346DD">
      <w:pPr>
        <w:pStyle w:val="FigureTableTitles"/>
      </w:pPr>
      <w:r w:rsidRPr="0058753F">
        <w:t xml:space="preserve">Schedule </w:t>
      </w:r>
      <w:r>
        <w:t>5</w:t>
      </w:r>
    </w:p>
    <w:p w14:paraId="4D8B02CB" w14:textId="77777777" w:rsidR="001346DD" w:rsidRPr="0058753F" w:rsidRDefault="001346DD" w:rsidP="001346DD">
      <w:pPr>
        <w:pStyle w:val="FigureTableTitles"/>
      </w:pPr>
      <w:r>
        <w:t>City of Cambridge</w:t>
      </w:r>
    </w:p>
    <w:p w14:paraId="68F6FA1D" w14:textId="77777777" w:rsidR="001346DD" w:rsidRPr="0058753F" w:rsidRDefault="001346DD" w:rsidP="001346DD">
      <w:pPr>
        <w:pStyle w:val="FigureTableTitles"/>
      </w:pPr>
      <w:r w:rsidRPr="0058753F">
        <w:t>Historical Residential Building Permits</w:t>
      </w:r>
    </w:p>
    <w:p w14:paraId="65E6189A" w14:textId="77777777" w:rsidR="001346DD" w:rsidRPr="0058753F" w:rsidRDefault="001346DD" w:rsidP="001346DD">
      <w:pPr>
        <w:pStyle w:val="FigureTableTitles"/>
      </w:pPr>
      <w:r w:rsidRPr="0058753F">
        <w:t>Years 201</w:t>
      </w:r>
      <w:r>
        <w:t>3</w:t>
      </w:r>
      <w:r w:rsidRPr="0058753F">
        <w:t xml:space="preserve"> to 202</w:t>
      </w:r>
      <w:r>
        <w:t>2</w:t>
      </w:r>
    </w:p>
    <w:p w14:paraId="474AC5A1" w14:textId="77777777" w:rsidR="001346DD" w:rsidRPr="0058753F" w:rsidRDefault="001346DD" w:rsidP="001346DD">
      <w:pPr>
        <w:pStyle w:val="BodyTextss"/>
      </w:pPr>
      <w:r w:rsidRPr="00F15FFB">
        <w:rPr>
          <w:noProof/>
        </w:rPr>
        <w:drawing>
          <wp:inline distT="0" distB="0" distL="0" distR="0" wp14:anchorId="38FF8522" wp14:editId="0B499DF2">
            <wp:extent cx="5943600" cy="6134100"/>
            <wp:effectExtent l="0" t="0" r="0" b="0"/>
            <wp:docPr id="1154368539" name="Picture 9" descr="This table shows the historical residential building permits from 2013 t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68539" name="Picture 9" descr="This table shows the historical residential building permits from 2013 to 20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6134100"/>
                    </a:xfrm>
                    <a:prstGeom prst="rect">
                      <a:avLst/>
                    </a:prstGeom>
                    <a:noFill/>
                    <a:ln>
                      <a:noFill/>
                    </a:ln>
                  </pic:spPr>
                </pic:pic>
              </a:graphicData>
            </a:graphic>
          </wp:inline>
        </w:drawing>
      </w:r>
    </w:p>
    <w:p w14:paraId="1A8C8ABB" w14:textId="77777777" w:rsidR="001346DD" w:rsidRPr="008D6C44" w:rsidRDefault="001346DD" w:rsidP="001346DD">
      <w:pPr>
        <w:pStyle w:val="Sourcecaptions"/>
        <w:rPr>
          <w:sz w:val="18"/>
          <w:szCs w:val="20"/>
        </w:rPr>
      </w:pPr>
      <w:r w:rsidRPr="008D6C44">
        <w:rPr>
          <w:sz w:val="18"/>
          <w:szCs w:val="20"/>
          <w:vertAlign w:val="superscript"/>
        </w:rPr>
        <w:t>[1]</w:t>
      </w:r>
      <w:r w:rsidRPr="008D6C44">
        <w:rPr>
          <w:sz w:val="18"/>
          <w:szCs w:val="20"/>
        </w:rPr>
        <w:t xml:space="preserve"> Includes townhouses and apartments in duplexes.</w:t>
      </w:r>
    </w:p>
    <w:p w14:paraId="1CB2E839" w14:textId="77777777" w:rsidR="001346DD" w:rsidRPr="008D6C44" w:rsidRDefault="001346DD" w:rsidP="001346DD">
      <w:pPr>
        <w:pStyle w:val="Sourcecaptions"/>
        <w:rPr>
          <w:sz w:val="18"/>
          <w:szCs w:val="20"/>
        </w:rPr>
      </w:pPr>
      <w:r w:rsidRPr="008D6C44">
        <w:rPr>
          <w:sz w:val="18"/>
          <w:szCs w:val="20"/>
          <w:vertAlign w:val="superscript"/>
        </w:rPr>
        <w:t>[2]</w:t>
      </w:r>
      <w:r w:rsidRPr="008D6C44">
        <w:rPr>
          <w:sz w:val="18"/>
          <w:szCs w:val="20"/>
        </w:rPr>
        <w:t xml:space="preserve"> Includes bachelor, 1-bedroom, and 2-bedroom+ apartment units.</w:t>
      </w:r>
    </w:p>
    <w:p w14:paraId="1683A6B4" w14:textId="77777777" w:rsidR="001346DD" w:rsidRPr="008D6C44" w:rsidRDefault="001346DD" w:rsidP="001346DD">
      <w:pPr>
        <w:pStyle w:val="Sourcecaptions"/>
        <w:rPr>
          <w:sz w:val="18"/>
          <w:szCs w:val="20"/>
        </w:rPr>
      </w:pPr>
      <w:r w:rsidRPr="008D6C44">
        <w:rPr>
          <w:sz w:val="18"/>
          <w:szCs w:val="20"/>
        </w:rPr>
        <w:t>Source</w:t>
      </w:r>
      <w:r w:rsidRPr="00367BDD">
        <w:rPr>
          <w:sz w:val="18"/>
          <w:szCs w:val="20"/>
          <w:lang w:val="en-CA"/>
        </w:rPr>
        <w:t xml:space="preserve">:  </w:t>
      </w:r>
      <w:r w:rsidRPr="00F15FFB">
        <w:rPr>
          <w:sz w:val="18"/>
          <w:szCs w:val="20"/>
          <w:lang w:val="en-CA"/>
        </w:rPr>
        <w:t>Historical housing activity derived from City of Cambridge building permit data, 2013 to 2022, by Watson &amp; Associates Economists Ltd</w:t>
      </w:r>
      <w:r w:rsidRPr="00367BDD">
        <w:rPr>
          <w:sz w:val="18"/>
          <w:szCs w:val="20"/>
          <w:lang w:val="en-CA"/>
        </w:rPr>
        <w:t>.</w:t>
      </w:r>
    </w:p>
    <w:p w14:paraId="539F129E" w14:textId="77777777" w:rsidR="001346DD" w:rsidRPr="0058753F" w:rsidRDefault="001346DD" w:rsidP="001346DD">
      <w:pPr>
        <w:pStyle w:val="FigureTableTitles"/>
        <w:rPr>
          <w:sz w:val="16"/>
          <w:szCs w:val="16"/>
        </w:rPr>
      </w:pPr>
      <w:r w:rsidRPr="0058753F">
        <w:t xml:space="preserve">Schedule </w:t>
      </w:r>
      <w:r>
        <w:t>6</w:t>
      </w:r>
    </w:p>
    <w:p w14:paraId="189A1F54" w14:textId="77777777" w:rsidR="001346DD" w:rsidRPr="0058753F" w:rsidRDefault="001346DD" w:rsidP="001346DD">
      <w:pPr>
        <w:pStyle w:val="FigureTableTitles"/>
      </w:pPr>
      <w:r>
        <w:t>City of Cambridge</w:t>
      </w:r>
    </w:p>
    <w:p w14:paraId="6BB08A84" w14:textId="77777777" w:rsidR="001346DD" w:rsidRPr="0058753F" w:rsidRDefault="001346DD" w:rsidP="001346DD">
      <w:pPr>
        <w:pStyle w:val="FigureTableTitles"/>
      </w:pPr>
      <w:r w:rsidRPr="0058753F">
        <w:t>Person Per Unit by Age and Type of Dwelling</w:t>
      </w:r>
    </w:p>
    <w:p w14:paraId="6EBEE236" w14:textId="77777777" w:rsidR="001346DD" w:rsidRDefault="001346DD" w:rsidP="001346DD">
      <w:pPr>
        <w:pStyle w:val="FigureTableTitles"/>
      </w:pPr>
      <w:r w:rsidRPr="0058753F">
        <w:t>(2021 Census)</w:t>
      </w:r>
    </w:p>
    <w:p w14:paraId="2BF91FFD" w14:textId="77777777" w:rsidR="001346DD" w:rsidRPr="0058753F" w:rsidRDefault="001346DD" w:rsidP="001346DD">
      <w:pPr>
        <w:pStyle w:val="BodyText"/>
      </w:pPr>
      <w:r w:rsidRPr="00F15FFB">
        <w:rPr>
          <w:noProof/>
        </w:rPr>
        <w:drawing>
          <wp:inline distT="0" distB="0" distL="0" distR="0" wp14:anchorId="3C1337F0" wp14:editId="4BB5A064">
            <wp:extent cx="5835336" cy="6126480"/>
            <wp:effectExtent l="0" t="0" r="0" b="7620"/>
            <wp:docPr id="2062365510" name="Picture 10" descr="This table outlines the person per unit by age and type of dwelling as of the 2021 census for the City of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65510" name="Picture 10" descr="This table outlines the person per unit by age and type of dwelling as of the 2021 census for the City of Cambrid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35336" cy="6126480"/>
                    </a:xfrm>
                    <a:prstGeom prst="rect">
                      <a:avLst/>
                    </a:prstGeom>
                    <a:noFill/>
                    <a:ln>
                      <a:noFill/>
                    </a:ln>
                  </pic:spPr>
                </pic:pic>
              </a:graphicData>
            </a:graphic>
          </wp:inline>
        </w:drawing>
      </w:r>
    </w:p>
    <w:p w14:paraId="0F4CF5D2" w14:textId="77777777" w:rsidR="001346DD" w:rsidRPr="004E2065" w:rsidRDefault="001346DD" w:rsidP="001346DD">
      <w:pPr>
        <w:pStyle w:val="Sourcecaptions"/>
        <w:rPr>
          <w:sz w:val="18"/>
          <w:szCs w:val="20"/>
        </w:rPr>
      </w:pPr>
      <w:r w:rsidRPr="008D6C44">
        <w:rPr>
          <w:sz w:val="18"/>
          <w:szCs w:val="20"/>
          <w:vertAlign w:val="superscript"/>
        </w:rPr>
        <w:t>[1]</w:t>
      </w:r>
      <w:r w:rsidRPr="008D6C44">
        <w:rPr>
          <w:sz w:val="18"/>
          <w:szCs w:val="20"/>
        </w:rPr>
        <w:t xml:space="preserve"> Includes townhomes and apartments in duplexes.</w:t>
      </w:r>
    </w:p>
    <w:p w14:paraId="167F22A7" w14:textId="77777777" w:rsidR="001346DD" w:rsidRPr="008D6C44" w:rsidRDefault="001346DD" w:rsidP="001346DD">
      <w:pPr>
        <w:pStyle w:val="Sourcecaptions"/>
        <w:rPr>
          <w:sz w:val="18"/>
          <w:szCs w:val="20"/>
        </w:rPr>
      </w:pPr>
      <w:r w:rsidRPr="008D6C44">
        <w:rPr>
          <w:sz w:val="18"/>
          <w:szCs w:val="20"/>
          <w:vertAlign w:val="superscript"/>
        </w:rPr>
        <w:t>[</w:t>
      </w:r>
      <w:r>
        <w:rPr>
          <w:sz w:val="18"/>
          <w:szCs w:val="20"/>
          <w:vertAlign w:val="superscript"/>
        </w:rPr>
        <w:t>2</w:t>
      </w:r>
      <w:r w:rsidRPr="008D6C44">
        <w:rPr>
          <w:sz w:val="18"/>
          <w:szCs w:val="20"/>
          <w:vertAlign w:val="superscript"/>
        </w:rPr>
        <w:t>]</w:t>
      </w:r>
      <w:r w:rsidRPr="008D6C44">
        <w:rPr>
          <w:sz w:val="18"/>
          <w:szCs w:val="20"/>
        </w:rPr>
        <w:t xml:space="preserve"> Adjusted based on historical trends.</w:t>
      </w:r>
    </w:p>
    <w:p w14:paraId="26611E56" w14:textId="77777777" w:rsidR="001346DD" w:rsidRPr="008D6C44" w:rsidRDefault="001346DD" w:rsidP="001346DD">
      <w:pPr>
        <w:pStyle w:val="Sourcecaptions"/>
        <w:rPr>
          <w:sz w:val="18"/>
          <w:szCs w:val="20"/>
        </w:rPr>
      </w:pPr>
      <w:r w:rsidRPr="008D6C44">
        <w:rPr>
          <w:sz w:val="18"/>
          <w:szCs w:val="20"/>
        </w:rPr>
        <w:t>Note:  Does not include Statistics Canada data classified as “Other.”</w:t>
      </w:r>
    </w:p>
    <w:p w14:paraId="76D58F86" w14:textId="77777777" w:rsidR="001346DD" w:rsidRDefault="001346DD" w:rsidP="001346DD">
      <w:pPr>
        <w:pStyle w:val="Sourcecaptions"/>
        <w:rPr>
          <w:sz w:val="18"/>
          <w:szCs w:val="20"/>
        </w:rPr>
      </w:pPr>
      <w:r w:rsidRPr="008D6C44">
        <w:rPr>
          <w:sz w:val="18"/>
          <w:szCs w:val="20"/>
        </w:rPr>
        <w:t>P.P.U. Not calculated for samples less than or equal to 50 dwelling units and does not include institutional population</w:t>
      </w:r>
      <w:r>
        <w:rPr>
          <w:sz w:val="18"/>
          <w:szCs w:val="20"/>
        </w:rPr>
        <w:t>.</w:t>
      </w:r>
      <w:r>
        <w:rPr>
          <w:sz w:val="18"/>
          <w:szCs w:val="20"/>
        </w:rPr>
        <w:br w:type="page"/>
      </w:r>
    </w:p>
    <w:p w14:paraId="79EFF00D" w14:textId="77777777" w:rsidR="001346DD" w:rsidRPr="008D6C44" w:rsidRDefault="001346DD" w:rsidP="001346DD">
      <w:pPr>
        <w:pStyle w:val="Sourcecaptions"/>
        <w:rPr>
          <w:sz w:val="18"/>
          <w:szCs w:val="20"/>
        </w:rPr>
        <w:sectPr w:rsidR="001346DD" w:rsidRPr="008D6C44">
          <w:footnotePr>
            <w:numRestart w:val="eachPage"/>
          </w:footnotePr>
          <w:pgSz w:w="12240" w:h="15840"/>
          <w:pgMar w:top="1814" w:right="1440" w:bottom="1701" w:left="1440" w:header="567" w:footer="624" w:gutter="0"/>
          <w:cols w:space="720"/>
        </w:sectPr>
      </w:pPr>
    </w:p>
    <w:p w14:paraId="04D923FA" w14:textId="77777777" w:rsidR="001346DD" w:rsidRPr="004230FB" w:rsidRDefault="001346DD" w:rsidP="001346DD">
      <w:pPr>
        <w:pStyle w:val="FigureTableTitles"/>
        <w:rPr>
          <w:lang w:eastAsia="ja-JP"/>
        </w:rPr>
      </w:pPr>
      <w:r w:rsidRPr="004230FB">
        <w:rPr>
          <w:lang w:eastAsia="ja-JP"/>
        </w:rPr>
        <w:t xml:space="preserve">Schedule </w:t>
      </w:r>
      <w:r>
        <w:rPr>
          <w:lang w:eastAsia="ja-JP"/>
        </w:rPr>
        <w:t>7</w:t>
      </w:r>
    </w:p>
    <w:p w14:paraId="1945EE09" w14:textId="77777777" w:rsidR="001346DD" w:rsidRPr="004230FB" w:rsidRDefault="001346DD" w:rsidP="001346DD">
      <w:pPr>
        <w:pStyle w:val="FigureTableTitles"/>
        <w:rPr>
          <w:lang w:eastAsia="ja-JP"/>
        </w:rPr>
      </w:pPr>
      <w:r>
        <w:rPr>
          <w:lang w:eastAsia="ja-JP"/>
        </w:rPr>
        <w:t>City of Cambridge</w:t>
      </w:r>
    </w:p>
    <w:p w14:paraId="2AC99C4C" w14:textId="77777777" w:rsidR="001346DD" w:rsidRPr="004230FB" w:rsidRDefault="001346DD" w:rsidP="001346DD">
      <w:pPr>
        <w:pStyle w:val="FigureTableTitles"/>
        <w:rPr>
          <w:lang w:eastAsia="ja-JP"/>
        </w:rPr>
      </w:pPr>
      <w:r w:rsidRPr="004230FB">
        <w:rPr>
          <w:lang w:eastAsia="ja-JP"/>
        </w:rPr>
        <w:t>Person Per Unit Structural Type and Age of Dwelling</w:t>
      </w:r>
    </w:p>
    <w:p w14:paraId="137DDEF6" w14:textId="77777777" w:rsidR="001346DD" w:rsidRPr="004230FB" w:rsidRDefault="001346DD" w:rsidP="001346DD">
      <w:pPr>
        <w:pStyle w:val="FigureTableTitles"/>
        <w:rPr>
          <w:lang w:eastAsia="ja-JP"/>
        </w:rPr>
      </w:pPr>
      <w:r w:rsidRPr="004230FB">
        <w:rPr>
          <w:lang w:eastAsia="ja-JP"/>
        </w:rPr>
        <w:t>(2021 Census)</w:t>
      </w:r>
    </w:p>
    <w:p w14:paraId="5EDF448E" w14:textId="77777777" w:rsidR="001346DD" w:rsidRDefault="001346DD" w:rsidP="001346DD">
      <w:pPr>
        <w:pStyle w:val="BodyText"/>
        <w:jc w:val="center"/>
        <w:rPr>
          <w:lang w:eastAsia="ja-JP"/>
        </w:rPr>
      </w:pPr>
      <w:r w:rsidRPr="00F15FFB">
        <w:rPr>
          <w:noProof/>
        </w:rPr>
        <w:drawing>
          <wp:inline distT="0" distB="0" distL="0" distR="0" wp14:anchorId="1DEB80F1" wp14:editId="041B6C11">
            <wp:extent cx="7633970" cy="3189605"/>
            <wp:effectExtent l="0" t="0" r="5080" b="0"/>
            <wp:docPr id="1124299495" name="Picture 11" descr="This graph shows the person per unit structural type and age of dwelling from the 2021 cen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299495" name="Picture 11" descr="This graph shows the person per unit structural type and age of dwelling from the 2021 censu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33970" cy="3189605"/>
                    </a:xfrm>
                    <a:prstGeom prst="rect">
                      <a:avLst/>
                    </a:prstGeom>
                    <a:noFill/>
                    <a:ln>
                      <a:noFill/>
                    </a:ln>
                  </pic:spPr>
                </pic:pic>
              </a:graphicData>
            </a:graphic>
          </wp:inline>
        </w:drawing>
      </w:r>
      <w:r>
        <w:rPr>
          <w:lang w:eastAsia="ja-JP"/>
        </w:rPr>
        <w:br w:type="page"/>
      </w:r>
    </w:p>
    <w:p w14:paraId="3655D67A" w14:textId="77777777" w:rsidR="001346DD" w:rsidRPr="0058753F" w:rsidRDefault="001346DD" w:rsidP="001346DD">
      <w:pPr>
        <w:pStyle w:val="FigureTableTitles"/>
        <w:rPr>
          <w:lang w:eastAsia="ja-JP"/>
        </w:rPr>
      </w:pPr>
      <w:r w:rsidRPr="0058753F">
        <w:rPr>
          <w:lang w:eastAsia="ja-JP"/>
        </w:rPr>
        <w:t xml:space="preserve">Schedule </w:t>
      </w:r>
      <w:r>
        <w:rPr>
          <w:lang w:eastAsia="ja-JP"/>
        </w:rPr>
        <w:t>8</w:t>
      </w:r>
      <w:r w:rsidRPr="0058753F">
        <w:rPr>
          <w:lang w:eastAsia="ja-JP"/>
        </w:rPr>
        <w:t>a</w:t>
      </w:r>
    </w:p>
    <w:p w14:paraId="1611C676" w14:textId="77777777" w:rsidR="001346DD" w:rsidRPr="0058753F" w:rsidRDefault="001346DD" w:rsidP="001346DD">
      <w:pPr>
        <w:pStyle w:val="FigureTableTitles"/>
        <w:rPr>
          <w:lang w:eastAsia="ja-JP"/>
        </w:rPr>
      </w:pPr>
      <w:r>
        <w:rPr>
          <w:lang w:eastAsia="ja-JP"/>
        </w:rPr>
        <w:t>City of Cambridge</w:t>
      </w:r>
    </w:p>
    <w:p w14:paraId="42F762ED" w14:textId="77777777" w:rsidR="001346DD" w:rsidRPr="0058753F" w:rsidRDefault="001346DD" w:rsidP="001346DD">
      <w:pPr>
        <w:pStyle w:val="FigureTableTitles"/>
        <w:rPr>
          <w:lang w:eastAsia="ja-JP"/>
        </w:rPr>
      </w:pPr>
      <w:r w:rsidRPr="0058753F">
        <w:rPr>
          <w:lang w:eastAsia="ja-JP"/>
        </w:rPr>
        <w:t>Employment Forecast, 202</w:t>
      </w:r>
      <w:r>
        <w:rPr>
          <w:lang w:eastAsia="ja-JP"/>
        </w:rPr>
        <w:t>3</w:t>
      </w:r>
      <w:r w:rsidRPr="0058753F">
        <w:rPr>
          <w:lang w:eastAsia="ja-JP"/>
        </w:rPr>
        <w:t xml:space="preserve"> to </w:t>
      </w:r>
      <w:r>
        <w:rPr>
          <w:lang w:eastAsia="ja-JP"/>
        </w:rPr>
        <w:t>2033</w:t>
      </w:r>
    </w:p>
    <w:p w14:paraId="279AF192" w14:textId="77777777" w:rsidR="001346DD" w:rsidRPr="0058753F" w:rsidRDefault="001346DD" w:rsidP="001346DD">
      <w:pPr>
        <w:pStyle w:val="BodyTextss"/>
        <w:rPr>
          <w:lang w:eastAsia="ja-JP"/>
        </w:rPr>
      </w:pPr>
      <w:r w:rsidRPr="00F15FFB">
        <w:rPr>
          <w:noProof/>
        </w:rPr>
        <w:drawing>
          <wp:inline distT="0" distB="0" distL="0" distR="0" wp14:anchorId="19846532" wp14:editId="43C35EA6">
            <wp:extent cx="8229600" cy="2414905"/>
            <wp:effectExtent l="0" t="0" r="0" b="4445"/>
            <wp:docPr id="2062047594" name="Picture 12" descr="This table outlines the employment forecast from 2023 to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47594" name="Picture 12" descr="This table outlines the employment forecast from 2023 to 20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29600" cy="2414905"/>
                    </a:xfrm>
                    <a:prstGeom prst="rect">
                      <a:avLst/>
                    </a:prstGeom>
                    <a:noFill/>
                    <a:ln>
                      <a:noFill/>
                    </a:ln>
                  </pic:spPr>
                </pic:pic>
              </a:graphicData>
            </a:graphic>
          </wp:inline>
        </w:drawing>
      </w:r>
    </w:p>
    <w:p w14:paraId="7E322ED9" w14:textId="77777777" w:rsidR="001346DD" w:rsidRPr="008D6C44" w:rsidRDefault="001346DD" w:rsidP="001346DD">
      <w:pPr>
        <w:pStyle w:val="Sourcecaptions"/>
        <w:rPr>
          <w:sz w:val="18"/>
          <w:szCs w:val="20"/>
        </w:rPr>
      </w:pPr>
      <w:r w:rsidRPr="008D6C44">
        <w:rPr>
          <w:sz w:val="18"/>
          <w:szCs w:val="20"/>
          <w:vertAlign w:val="superscript"/>
        </w:rPr>
        <w:t>[1]</w:t>
      </w:r>
      <w:r w:rsidRPr="008D6C44">
        <w:rPr>
          <w:sz w:val="18"/>
          <w:szCs w:val="20"/>
        </w:rPr>
        <w:t xml:space="preserve"> Statistics Canada defines no fixed place of work (N.F.P.O.W.) employees as "persons who do not go from home to the same workplace location at the beginning of each shift.  Such persons include building and landscape contractors, travelling salespersons, independent truck drivers, etc.”</w:t>
      </w:r>
    </w:p>
    <w:p w14:paraId="663C3F9A" w14:textId="77777777" w:rsidR="001346DD" w:rsidRDefault="001346DD" w:rsidP="001346DD">
      <w:pPr>
        <w:pStyle w:val="Sourcecaptions"/>
        <w:rPr>
          <w:rFonts w:eastAsiaTheme="minorHAnsi"/>
          <w:sz w:val="18"/>
          <w:szCs w:val="20"/>
          <w:lang w:eastAsia="ja-JP"/>
        </w:rPr>
      </w:pPr>
      <w:r w:rsidRPr="003A3F26">
        <w:rPr>
          <w:rFonts w:eastAsiaTheme="minorHAnsi"/>
          <w:sz w:val="18"/>
          <w:szCs w:val="20"/>
          <w:lang w:eastAsia="ja-JP"/>
        </w:rPr>
        <w:t>Note:  Statistics Canada 2021 Census place of work employment data has been reviewed</w:t>
      </w:r>
      <w:r>
        <w:rPr>
          <w:rFonts w:eastAsiaTheme="minorHAnsi"/>
          <w:sz w:val="18"/>
          <w:szCs w:val="20"/>
          <w:lang w:eastAsia="ja-JP"/>
        </w:rPr>
        <w:t>. The 2021 Census employment results have not been utilized</w:t>
      </w:r>
      <w:r w:rsidRPr="003A3F26">
        <w:rPr>
          <w:rFonts w:eastAsiaTheme="minorHAnsi"/>
          <w:sz w:val="18"/>
          <w:szCs w:val="20"/>
          <w:lang w:eastAsia="ja-JP"/>
        </w:rPr>
        <w:t xml:space="preserve"> due to </w:t>
      </w:r>
      <w:r>
        <w:rPr>
          <w:rFonts w:eastAsiaTheme="minorHAnsi"/>
          <w:sz w:val="18"/>
          <w:szCs w:val="20"/>
          <w:lang w:eastAsia="ja-JP"/>
        </w:rPr>
        <w:t xml:space="preserve">a significant increase in work at home employment captured due to </w:t>
      </w:r>
      <w:r w:rsidRPr="003A3F26">
        <w:rPr>
          <w:rFonts w:eastAsiaTheme="minorHAnsi"/>
          <w:sz w:val="18"/>
          <w:szCs w:val="20"/>
          <w:lang w:eastAsia="ja-JP"/>
        </w:rPr>
        <w:t>Census enumeration occurring during the provincial COVID-19 lockdown from April 1, 2021 to June 14, 2021</w:t>
      </w:r>
      <w:r w:rsidRPr="00B8012D">
        <w:rPr>
          <w:sz w:val="18"/>
          <w:szCs w:val="20"/>
        </w:rPr>
        <w:t>.</w:t>
      </w:r>
    </w:p>
    <w:p w14:paraId="1232C746" w14:textId="6260BB0C" w:rsidR="001346DD" w:rsidRPr="008D6C44" w:rsidRDefault="001346DD" w:rsidP="001346DD">
      <w:pPr>
        <w:pStyle w:val="Sourcecaptions"/>
        <w:rPr>
          <w:sz w:val="18"/>
          <w:szCs w:val="20"/>
          <w:lang w:eastAsia="ja-JP"/>
        </w:rPr>
      </w:pPr>
      <w:r w:rsidRPr="008D6C44">
        <w:rPr>
          <w:rFonts w:eastAsiaTheme="minorHAnsi"/>
          <w:sz w:val="18"/>
          <w:szCs w:val="20"/>
          <w:lang w:eastAsia="ja-JP"/>
        </w:rPr>
        <w:t xml:space="preserve">Source:  </w:t>
      </w:r>
      <w:r w:rsidRPr="00823790">
        <w:rPr>
          <w:sz w:val="18"/>
          <w:szCs w:val="20"/>
          <w:lang w:val="en-CA"/>
        </w:rPr>
        <w:t>Watson &amp; Associates Economists Ltd</w:t>
      </w:r>
      <w:r w:rsidRPr="00F636B1">
        <w:rPr>
          <w:sz w:val="18"/>
          <w:szCs w:val="20"/>
          <w:lang w:eastAsia="ja-JP"/>
        </w:rPr>
        <w:t>.</w:t>
      </w:r>
    </w:p>
    <w:p w14:paraId="41138725" w14:textId="77777777" w:rsidR="001346DD" w:rsidRPr="0058753F" w:rsidRDefault="001346DD" w:rsidP="001346DD">
      <w:pPr>
        <w:pStyle w:val="FigureTableTitles"/>
      </w:pPr>
      <w:r w:rsidRPr="0058753F">
        <w:t xml:space="preserve">Schedule </w:t>
      </w:r>
      <w:r>
        <w:t>8</w:t>
      </w:r>
      <w:r w:rsidRPr="0058753F">
        <w:t>b</w:t>
      </w:r>
    </w:p>
    <w:p w14:paraId="2534718E" w14:textId="77777777" w:rsidR="001346DD" w:rsidRPr="0058753F" w:rsidRDefault="001346DD" w:rsidP="001346DD">
      <w:pPr>
        <w:pStyle w:val="FigureTableTitles"/>
      </w:pPr>
      <w:r>
        <w:t>City of Cambridge</w:t>
      </w:r>
    </w:p>
    <w:p w14:paraId="67F529A1" w14:textId="77777777" w:rsidR="001346DD" w:rsidRPr="0058753F" w:rsidRDefault="001346DD" w:rsidP="001346DD">
      <w:pPr>
        <w:pStyle w:val="FigureTableTitles"/>
      </w:pPr>
      <w:r w:rsidRPr="0058753F">
        <w:t>Employment and Gross Floor Area (G.F.A.) Forecast, 202</w:t>
      </w:r>
      <w:r>
        <w:t>3</w:t>
      </w:r>
      <w:r w:rsidRPr="0058753F">
        <w:t xml:space="preserve"> to </w:t>
      </w:r>
      <w:r>
        <w:t>2033</w:t>
      </w:r>
    </w:p>
    <w:p w14:paraId="434AE58C" w14:textId="77777777" w:rsidR="001346DD" w:rsidRPr="0058753F" w:rsidRDefault="001346DD" w:rsidP="001346DD">
      <w:pPr>
        <w:pStyle w:val="BodyTextss"/>
        <w:spacing w:after="0"/>
        <w:jc w:val="center"/>
        <w:rPr>
          <w:sz w:val="14"/>
          <w:szCs w:val="18"/>
          <w:lang w:eastAsia="ja-JP"/>
        </w:rPr>
      </w:pPr>
      <w:r w:rsidRPr="00132D04">
        <w:rPr>
          <w:noProof/>
        </w:rPr>
        <w:drawing>
          <wp:inline distT="0" distB="0" distL="0" distR="0" wp14:anchorId="159B645A" wp14:editId="4E8419BC">
            <wp:extent cx="8229600" cy="2936240"/>
            <wp:effectExtent l="0" t="0" r="0" b="0"/>
            <wp:docPr id="1154328878" name="Picture 13" descr="This table outlines the employment and gross floor area forecast from 2023 to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28878" name="Picture 13" descr="This table outlines the employment and gross floor area forecast from 2023 to 20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229600" cy="2936240"/>
                    </a:xfrm>
                    <a:prstGeom prst="rect">
                      <a:avLst/>
                    </a:prstGeom>
                    <a:noFill/>
                    <a:ln>
                      <a:noFill/>
                    </a:ln>
                  </pic:spPr>
                </pic:pic>
              </a:graphicData>
            </a:graphic>
          </wp:inline>
        </w:drawing>
      </w:r>
    </w:p>
    <w:p w14:paraId="2B550074" w14:textId="77777777" w:rsidR="001346DD" w:rsidRPr="0058753F" w:rsidRDefault="001346DD" w:rsidP="001346DD">
      <w:pPr>
        <w:pStyle w:val="Sourcecaptions"/>
        <w:rPr>
          <w:sz w:val="18"/>
          <w:szCs w:val="20"/>
          <w:lang w:eastAsia="ja-JP"/>
        </w:rPr>
      </w:pPr>
      <w:r w:rsidRPr="0058753F">
        <w:rPr>
          <w:sz w:val="18"/>
          <w:szCs w:val="18"/>
          <w:vertAlign w:val="superscript"/>
          <w:lang w:eastAsia="ja-JP"/>
        </w:rPr>
        <w:t>[1]</w:t>
      </w:r>
      <w:r w:rsidRPr="0058753F">
        <w:rPr>
          <w:sz w:val="18"/>
          <w:szCs w:val="20"/>
          <w:lang w:eastAsia="ja-JP"/>
        </w:rPr>
        <w:t xml:space="preserve"> Square Foot Per Employee Assumptions</w:t>
      </w:r>
    </w:p>
    <w:p w14:paraId="76FF3EC0" w14:textId="77777777" w:rsidR="001346DD" w:rsidRPr="0058753F" w:rsidRDefault="001346DD" w:rsidP="001346DD">
      <w:pPr>
        <w:pStyle w:val="Sourcecaptions"/>
        <w:tabs>
          <w:tab w:val="left" w:pos="720"/>
          <w:tab w:val="left" w:pos="4320"/>
        </w:tabs>
        <w:ind w:left="720"/>
        <w:rPr>
          <w:sz w:val="18"/>
          <w:szCs w:val="20"/>
          <w:lang w:eastAsia="ja-JP"/>
        </w:rPr>
      </w:pPr>
      <w:r w:rsidRPr="0058753F">
        <w:rPr>
          <w:sz w:val="18"/>
          <w:szCs w:val="20"/>
          <w:lang w:eastAsia="ja-JP"/>
        </w:rPr>
        <w:t>Industrial</w:t>
      </w:r>
      <w:r w:rsidRPr="0058753F">
        <w:rPr>
          <w:sz w:val="18"/>
          <w:szCs w:val="20"/>
          <w:lang w:eastAsia="ja-JP"/>
        </w:rPr>
        <w:tab/>
      </w:r>
      <w:r w:rsidRPr="0058753F">
        <w:rPr>
          <w:sz w:val="18"/>
          <w:szCs w:val="20"/>
          <w:lang w:eastAsia="ja-JP"/>
        </w:rPr>
        <w:tab/>
      </w:r>
      <w:r w:rsidRPr="0058753F">
        <w:rPr>
          <w:sz w:val="18"/>
          <w:szCs w:val="20"/>
          <w:lang w:eastAsia="ja-JP"/>
        </w:rPr>
        <w:tab/>
        <w:t xml:space="preserve">  </w:t>
      </w:r>
      <w:r>
        <w:rPr>
          <w:sz w:val="18"/>
          <w:szCs w:val="20"/>
          <w:lang w:eastAsia="ja-JP"/>
        </w:rPr>
        <w:t>1</w:t>
      </w:r>
      <w:r w:rsidRPr="0058753F">
        <w:rPr>
          <w:sz w:val="18"/>
          <w:szCs w:val="20"/>
          <w:lang w:eastAsia="ja-JP"/>
        </w:rPr>
        <w:t>,</w:t>
      </w:r>
      <w:r>
        <w:rPr>
          <w:sz w:val="18"/>
          <w:szCs w:val="20"/>
          <w:lang w:eastAsia="ja-JP"/>
        </w:rPr>
        <w:t>1</w:t>
      </w:r>
      <w:r w:rsidRPr="0058753F">
        <w:rPr>
          <w:sz w:val="18"/>
          <w:szCs w:val="20"/>
          <w:lang w:eastAsia="ja-JP"/>
        </w:rPr>
        <w:t>00</w:t>
      </w:r>
    </w:p>
    <w:p w14:paraId="39173912" w14:textId="77777777" w:rsidR="001346DD" w:rsidRPr="0058753F" w:rsidRDefault="001346DD" w:rsidP="001346DD">
      <w:pPr>
        <w:pStyle w:val="Sourcecaptions"/>
        <w:tabs>
          <w:tab w:val="left" w:pos="720"/>
          <w:tab w:val="left" w:pos="4320"/>
        </w:tabs>
        <w:ind w:left="720"/>
        <w:rPr>
          <w:sz w:val="18"/>
          <w:szCs w:val="20"/>
          <w:lang w:eastAsia="ja-JP"/>
        </w:rPr>
      </w:pPr>
      <w:r w:rsidRPr="0058753F">
        <w:rPr>
          <w:sz w:val="18"/>
          <w:szCs w:val="20"/>
          <w:lang w:eastAsia="ja-JP"/>
        </w:rPr>
        <w:t>Commercial/Population-Related</w:t>
      </w:r>
      <w:r w:rsidRPr="0058753F">
        <w:rPr>
          <w:sz w:val="18"/>
          <w:szCs w:val="20"/>
          <w:lang w:eastAsia="ja-JP"/>
        </w:rPr>
        <w:tab/>
      </w:r>
      <w:r w:rsidRPr="0058753F">
        <w:rPr>
          <w:sz w:val="18"/>
          <w:szCs w:val="20"/>
          <w:lang w:eastAsia="ja-JP"/>
        </w:rPr>
        <w:tab/>
      </w:r>
      <w:r w:rsidRPr="0058753F">
        <w:rPr>
          <w:sz w:val="18"/>
          <w:szCs w:val="20"/>
          <w:lang w:eastAsia="ja-JP"/>
        </w:rPr>
        <w:tab/>
        <w:t xml:space="preserve">     </w:t>
      </w:r>
      <w:r>
        <w:rPr>
          <w:sz w:val="18"/>
          <w:szCs w:val="20"/>
          <w:lang w:eastAsia="ja-JP"/>
        </w:rPr>
        <w:t>370</w:t>
      </w:r>
    </w:p>
    <w:p w14:paraId="4AF541FA" w14:textId="77777777" w:rsidR="001346DD" w:rsidRPr="0058753F" w:rsidRDefault="001346DD" w:rsidP="001346DD">
      <w:pPr>
        <w:pStyle w:val="Sourcecaptions"/>
        <w:tabs>
          <w:tab w:val="left" w:pos="720"/>
          <w:tab w:val="left" w:pos="4320"/>
        </w:tabs>
        <w:ind w:left="720"/>
        <w:rPr>
          <w:sz w:val="18"/>
          <w:szCs w:val="20"/>
          <w:lang w:eastAsia="ja-JP"/>
        </w:rPr>
      </w:pPr>
      <w:r w:rsidRPr="0058753F">
        <w:rPr>
          <w:sz w:val="18"/>
          <w:szCs w:val="20"/>
          <w:lang w:eastAsia="ja-JP"/>
        </w:rPr>
        <w:t>Institutional</w:t>
      </w:r>
      <w:r w:rsidRPr="0058753F">
        <w:rPr>
          <w:sz w:val="18"/>
          <w:szCs w:val="20"/>
          <w:lang w:eastAsia="ja-JP"/>
        </w:rPr>
        <w:tab/>
      </w:r>
      <w:r w:rsidRPr="0058753F">
        <w:rPr>
          <w:sz w:val="18"/>
          <w:szCs w:val="20"/>
          <w:lang w:eastAsia="ja-JP"/>
        </w:rPr>
        <w:tab/>
      </w:r>
      <w:r w:rsidRPr="0058753F">
        <w:rPr>
          <w:sz w:val="18"/>
          <w:szCs w:val="20"/>
          <w:lang w:eastAsia="ja-JP"/>
        </w:rPr>
        <w:tab/>
        <w:t xml:space="preserve">     </w:t>
      </w:r>
      <w:r>
        <w:rPr>
          <w:sz w:val="18"/>
          <w:szCs w:val="20"/>
          <w:lang w:eastAsia="ja-JP"/>
        </w:rPr>
        <w:t>686</w:t>
      </w:r>
    </w:p>
    <w:p w14:paraId="3DF0F6E0" w14:textId="77777777" w:rsidR="001346DD" w:rsidRPr="00293129" w:rsidRDefault="001346DD" w:rsidP="001346DD">
      <w:pPr>
        <w:pStyle w:val="Sourcecaptions"/>
        <w:rPr>
          <w:sz w:val="18"/>
          <w:szCs w:val="20"/>
          <w:lang w:eastAsia="ja-JP"/>
        </w:rPr>
      </w:pPr>
      <w:r w:rsidRPr="00B8012D">
        <w:rPr>
          <w:sz w:val="18"/>
          <w:szCs w:val="20"/>
          <w:vertAlign w:val="superscript"/>
          <w:lang w:eastAsia="ja-JP"/>
        </w:rPr>
        <w:t>[</w:t>
      </w:r>
      <w:r>
        <w:rPr>
          <w:sz w:val="18"/>
          <w:szCs w:val="20"/>
          <w:vertAlign w:val="superscript"/>
          <w:lang w:eastAsia="ja-JP"/>
        </w:rPr>
        <w:t>2</w:t>
      </w:r>
      <w:r w:rsidRPr="00B8012D">
        <w:rPr>
          <w:sz w:val="18"/>
          <w:szCs w:val="20"/>
          <w:vertAlign w:val="superscript"/>
          <w:lang w:eastAsia="ja-JP"/>
        </w:rPr>
        <w:t>]</w:t>
      </w:r>
      <w:r w:rsidRPr="00B8012D">
        <w:rPr>
          <w:sz w:val="18"/>
          <w:szCs w:val="20"/>
          <w:lang w:eastAsia="ja-JP"/>
        </w:rPr>
        <w:t xml:space="preserve"> Forecast institutional employment and gross floor area has been adjusted downward to account for employment associated with special care units.</w:t>
      </w:r>
    </w:p>
    <w:p w14:paraId="603BCE28" w14:textId="77777777" w:rsidR="001346DD" w:rsidRDefault="001346DD" w:rsidP="001346DD">
      <w:pPr>
        <w:pStyle w:val="Sourcecaptions"/>
        <w:rPr>
          <w:sz w:val="18"/>
          <w:szCs w:val="20"/>
          <w:lang w:eastAsia="ja-JP"/>
        </w:rPr>
      </w:pPr>
      <w:r w:rsidRPr="008D6C44">
        <w:rPr>
          <w:sz w:val="18"/>
          <w:szCs w:val="20"/>
          <w:lang w:eastAsia="ja-JP"/>
        </w:rPr>
        <w:t xml:space="preserve">*Reflects </w:t>
      </w:r>
      <w:r>
        <w:rPr>
          <w:sz w:val="18"/>
          <w:szCs w:val="20"/>
          <w:lang w:eastAsia="ja-JP"/>
        </w:rPr>
        <w:t>Late-2023</w:t>
      </w:r>
      <w:r w:rsidRPr="008D6C44">
        <w:rPr>
          <w:sz w:val="18"/>
          <w:szCs w:val="20"/>
          <w:lang w:eastAsia="ja-JP"/>
        </w:rPr>
        <w:t xml:space="preserve"> to</w:t>
      </w:r>
      <w:r>
        <w:rPr>
          <w:sz w:val="18"/>
          <w:szCs w:val="20"/>
          <w:lang w:eastAsia="ja-JP"/>
        </w:rPr>
        <w:t xml:space="preserve"> Late-2033</w:t>
      </w:r>
      <w:r w:rsidRPr="008D6C44">
        <w:rPr>
          <w:sz w:val="18"/>
          <w:szCs w:val="20"/>
          <w:lang w:eastAsia="ja-JP"/>
        </w:rPr>
        <w:t xml:space="preserve"> forecast period</w:t>
      </w:r>
      <w:r>
        <w:rPr>
          <w:sz w:val="18"/>
          <w:szCs w:val="20"/>
          <w:lang w:eastAsia="ja-JP"/>
        </w:rPr>
        <w:t>.</w:t>
      </w:r>
    </w:p>
    <w:p w14:paraId="7160CC1D" w14:textId="77777777" w:rsidR="001346DD" w:rsidRDefault="001346DD" w:rsidP="001346DD">
      <w:pPr>
        <w:pStyle w:val="Sourcecaptions"/>
        <w:rPr>
          <w:sz w:val="18"/>
          <w:szCs w:val="20"/>
          <w:lang w:eastAsia="ja-JP"/>
        </w:rPr>
      </w:pPr>
      <w:r w:rsidRPr="008D6C44">
        <w:rPr>
          <w:sz w:val="18"/>
          <w:szCs w:val="20"/>
          <w:lang w:eastAsia="ja-JP"/>
        </w:rPr>
        <w:t>Note:  Numbers may not add up precisely due to rounding.</w:t>
      </w:r>
    </w:p>
    <w:p w14:paraId="298370D8" w14:textId="77777777" w:rsidR="001346DD" w:rsidRPr="0058753F" w:rsidRDefault="001346DD" w:rsidP="001346DD">
      <w:pPr>
        <w:pStyle w:val="Sourcecaptions"/>
        <w:rPr>
          <w:sz w:val="18"/>
          <w:szCs w:val="20"/>
          <w:lang w:eastAsia="ja-JP"/>
        </w:rPr>
      </w:pPr>
      <w:r w:rsidRPr="0058753F">
        <w:rPr>
          <w:sz w:val="18"/>
          <w:szCs w:val="20"/>
          <w:lang w:eastAsia="ja-JP"/>
        </w:rPr>
        <w:t>Source</w:t>
      </w:r>
      <w:r w:rsidRPr="0058753F">
        <w:rPr>
          <w:rFonts w:eastAsiaTheme="minorHAnsi"/>
          <w:sz w:val="24"/>
          <w:lang w:val="en-CA" w:eastAsia="ja-JP"/>
        </w:rPr>
        <w:t>:</w:t>
      </w:r>
      <w:r w:rsidRPr="0058753F">
        <w:rPr>
          <w:sz w:val="18"/>
          <w:szCs w:val="20"/>
          <w:lang w:val="en-CA" w:eastAsia="ja-JP"/>
        </w:rPr>
        <w:t xml:space="preserve">  Watson &amp; Associates Economists Ltd. </w:t>
      </w:r>
    </w:p>
    <w:p w14:paraId="328CCF22" w14:textId="77777777" w:rsidR="001346DD" w:rsidRPr="0058753F" w:rsidRDefault="001346DD" w:rsidP="001346DD">
      <w:pPr>
        <w:pStyle w:val="FigureTableTitles"/>
      </w:pPr>
      <w:r w:rsidRPr="0058753F">
        <w:t xml:space="preserve">Schedule </w:t>
      </w:r>
      <w:r>
        <w:t>8</w:t>
      </w:r>
      <w:r w:rsidRPr="0058753F">
        <w:t>c</w:t>
      </w:r>
    </w:p>
    <w:p w14:paraId="5EF31BD3" w14:textId="77777777" w:rsidR="001346DD" w:rsidRPr="0058753F" w:rsidRDefault="001346DD" w:rsidP="001346DD">
      <w:pPr>
        <w:pStyle w:val="FigureTableTitles"/>
      </w:pPr>
      <w:r>
        <w:t>City of Cambridge</w:t>
      </w:r>
    </w:p>
    <w:p w14:paraId="2F7F4AA4" w14:textId="77777777" w:rsidR="001346DD" w:rsidRDefault="001346DD" w:rsidP="001346DD">
      <w:pPr>
        <w:pStyle w:val="FigureTableTitles"/>
      </w:pPr>
      <w:r w:rsidRPr="00D4580E">
        <w:t>Estimate of the Anticipated Amount, Type and Location of</w:t>
      </w:r>
      <w:r>
        <w:t xml:space="preserve"> </w:t>
      </w:r>
    </w:p>
    <w:p w14:paraId="415F3904" w14:textId="77777777" w:rsidR="001346DD" w:rsidRDefault="001346DD" w:rsidP="001346DD">
      <w:pPr>
        <w:pStyle w:val="FigureTableTitles"/>
        <w:rPr>
          <w:noProof/>
        </w:rPr>
      </w:pPr>
      <w:r w:rsidRPr="00D4580E">
        <w:t>Non-Residential Development for Which Development Charges Can Be Imposed</w:t>
      </w:r>
      <w:r w:rsidRPr="0058753F">
        <w:rPr>
          <w:sz w:val="14"/>
          <w:szCs w:val="18"/>
          <w:lang w:eastAsia="ja-JP"/>
        </w:rPr>
        <w:t xml:space="preserve"> </w:t>
      </w:r>
    </w:p>
    <w:p w14:paraId="7D1B1435" w14:textId="59F09DFE" w:rsidR="001346DD" w:rsidRPr="00D4580E" w:rsidRDefault="00A15673" w:rsidP="00455F01">
      <w:pPr>
        <w:pStyle w:val="BodyText"/>
      </w:pPr>
      <w:r w:rsidRPr="00A15673">
        <w:rPr>
          <w:noProof/>
        </w:rPr>
        <w:drawing>
          <wp:inline distT="0" distB="0" distL="0" distR="0" wp14:anchorId="7B8C3539" wp14:editId="6532C456">
            <wp:extent cx="8229600" cy="1491615"/>
            <wp:effectExtent l="0" t="0" r="0" b="0"/>
            <wp:docPr id="515733" name="Picture 1" descr="This table outlines the estimate of the anticipated amount, type and location of non-residential development for which development charges can be i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33" name="Picture 1" descr="This table outlines the estimate of the anticipated amount, type and location of non-residential development for which development charges can be impos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29600" cy="1491615"/>
                    </a:xfrm>
                    <a:prstGeom prst="rect">
                      <a:avLst/>
                    </a:prstGeom>
                    <a:noFill/>
                    <a:ln>
                      <a:noFill/>
                    </a:ln>
                  </pic:spPr>
                </pic:pic>
              </a:graphicData>
            </a:graphic>
          </wp:inline>
        </w:drawing>
      </w:r>
    </w:p>
    <w:p w14:paraId="12E33995" w14:textId="77777777" w:rsidR="001346DD" w:rsidRPr="0058753F" w:rsidRDefault="001346DD" w:rsidP="001346DD">
      <w:pPr>
        <w:pStyle w:val="Sourcecaptions"/>
        <w:rPr>
          <w:sz w:val="18"/>
          <w:szCs w:val="20"/>
          <w:lang w:eastAsia="ja-JP"/>
        </w:rPr>
      </w:pPr>
      <w:r w:rsidRPr="0058753F">
        <w:rPr>
          <w:sz w:val="18"/>
          <w:szCs w:val="18"/>
          <w:vertAlign w:val="superscript"/>
          <w:lang w:eastAsia="ja-JP"/>
        </w:rPr>
        <w:t>[</w:t>
      </w:r>
      <w:r>
        <w:rPr>
          <w:sz w:val="18"/>
          <w:szCs w:val="18"/>
          <w:vertAlign w:val="superscript"/>
          <w:lang w:eastAsia="ja-JP"/>
        </w:rPr>
        <w:t>1</w:t>
      </w:r>
      <w:r w:rsidRPr="0058753F">
        <w:rPr>
          <w:sz w:val="18"/>
          <w:szCs w:val="18"/>
          <w:vertAlign w:val="superscript"/>
          <w:lang w:eastAsia="ja-JP"/>
        </w:rPr>
        <w:t>]</w:t>
      </w:r>
      <w:r w:rsidRPr="0058753F">
        <w:rPr>
          <w:sz w:val="18"/>
          <w:szCs w:val="20"/>
          <w:lang w:eastAsia="ja-JP"/>
        </w:rPr>
        <w:t xml:space="preserve"> Square Foot Per Employee Assumptions</w:t>
      </w:r>
    </w:p>
    <w:p w14:paraId="3224B437" w14:textId="77777777" w:rsidR="001346DD" w:rsidRPr="0058753F" w:rsidRDefault="001346DD" w:rsidP="001346DD">
      <w:pPr>
        <w:pStyle w:val="Sourcecaptions"/>
        <w:tabs>
          <w:tab w:val="left" w:pos="720"/>
          <w:tab w:val="left" w:pos="4320"/>
        </w:tabs>
        <w:ind w:left="720"/>
        <w:rPr>
          <w:sz w:val="18"/>
          <w:szCs w:val="20"/>
          <w:lang w:eastAsia="ja-JP"/>
        </w:rPr>
      </w:pPr>
      <w:r w:rsidRPr="0058753F">
        <w:rPr>
          <w:sz w:val="18"/>
          <w:szCs w:val="20"/>
          <w:lang w:eastAsia="ja-JP"/>
        </w:rPr>
        <w:t>Industrial</w:t>
      </w:r>
      <w:r w:rsidRPr="0058753F">
        <w:rPr>
          <w:sz w:val="18"/>
          <w:szCs w:val="20"/>
          <w:lang w:eastAsia="ja-JP"/>
        </w:rPr>
        <w:tab/>
      </w:r>
      <w:r w:rsidRPr="0058753F">
        <w:rPr>
          <w:sz w:val="18"/>
          <w:szCs w:val="20"/>
          <w:lang w:eastAsia="ja-JP"/>
        </w:rPr>
        <w:tab/>
      </w:r>
      <w:r w:rsidRPr="0058753F">
        <w:rPr>
          <w:sz w:val="18"/>
          <w:szCs w:val="20"/>
          <w:lang w:eastAsia="ja-JP"/>
        </w:rPr>
        <w:tab/>
        <w:t xml:space="preserve">  </w:t>
      </w:r>
      <w:r>
        <w:rPr>
          <w:sz w:val="18"/>
          <w:szCs w:val="20"/>
          <w:lang w:eastAsia="ja-JP"/>
        </w:rPr>
        <w:t>1</w:t>
      </w:r>
      <w:r w:rsidRPr="0058753F">
        <w:rPr>
          <w:sz w:val="18"/>
          <w:szCs w:val="20"/>
          <w:lang w:eastAsia="ja-JP"/>
        </w:rPr>
        <w:t>,</w:t>
      </w:r>
      <w:r>
        <w:rPr>
          <w:sz w:val="18"/>
          <w:szCs w:val="20"/>
          <w:lang w:eastAsia="ja-JP"/>
        </w:rPr>
        <w:t>1</w:t>
      </w:r>
      <w:r w:rsidRPr="0058753F">
        <w:rPr>
          <w:sz w:val="18"/>
          <w:szCs w:val="20"/>
          <w:lang w:eastAsia="ja-JP"/>
        </w:rPr>
        <w:t>00</w:t>
      </w:r>
    </w:p>
    <w:p w14:paraId="45226677" w14:textId="77777777" w:rsidR="001346DD" w:rsidRPr="0058753F" w:rsidRDefault="001346DD" w:rsidP="001346DD">
      <w:pPr>
        <w:pStyle w:val="Sourcecaptions"/>
        <w:tabs>
          <w:tab w:val="left" w:pos="720"/>
          <w:tab w:val="left" w:pos="4320"/>
        </w:tabs>
        <w:ind w:left="720"/>
        <w:rPr>
          <w:sz w:val="18"/>
          <w:szCs w:val="20"/>
          <w:lang w:eastAsia="ja-JP"/>
        </w:rPr>
      </w:pPr>
      <w:r w:rsidRPr="0058753F">
        <w:rPr>
          <w:sz w:val="18"/>
          <w:szCs w:val="20"/>
          <w:lang w:eastAsia="ja-JP"/>
        </w:rPr>
        <w:t>Commercial/Population-Related</w:t>
      </w:r>
      <w:r w:rsidRPr="0058753F">
        <w:rPr>
          <w:sz w:val="18"/>
          <w:szCs w:val="20"/>
          <w:lang w:eastAsia="ja-JP"/>
        </w:rPr>
        <w:tab/>
      </w:r>
      <w:r w:rsidRPr="0058753F">
        <w:rPr>
          <w:sz w:val="18"/>
          <w:szCs w:val="20"/>
          <w:lang w:eastAsia="ja-JP"/>
        </w:rPr>
        <w:tab/>
      </w:r>
      <w:r w:rsidRPr="0058753F">
        <w:rPr>
          <w:sz w:val="18"/>
          <w:szCs w:val="20"/>
          <w:lang w:eastAsia="ja-JP"/>
        </w:rPr>
        <w:tab/>
        <w:t xml:space="preserve">     </w:t>
      </w:r>
      <w:r>
        <w:rPr>
          <w:sz w:val="18"/>
          <w:szCs w:val="20"/>
          <w:lang w:eastAsia="ja-JP"/>
        </w:rPr>
        <w:t>370</w:t>
      </w:r>
    </w:p>
    <w:p w14:paraId="53C1BDD1" w14:textId="77777777" w:rsidR="001346DD" w:rsidRPr="0058753F" w:rsidRDefault="001346DD" w:rsidP="001346DD">
      <w:pPr>
        <w:pStyle w:val="Sourcecaptions"/>
        <w:tabs>
          <w:tab w:val="left" w:pos="720"/>
          <w:tab w:val="left" w:pos="4320"/>
        </w:tabs>
        <w:ind w:left="720"/>
        <w:rPr>
          <w:sz w:val="18"/>
          <w:szCs w:val="20"/>
          <w:lang w:eastAsia="ja-JP"/>
        </w:rPr>
      </w:pPr>
      <w:r w:rsidRPr="0058753F">
        <w:rPr>
          <w:sz w:val="18"/>
          <w:szCs w:val="20"/>
          <w:lang w:eastAsia="ja-JP"/>
        </w:rPr>
        <w:t>Institutional</w:t>
      </w:r>
      <w:r w:rsidRPr="0058753F">
        <w:rPr>
          <w:sz w:val="18"/>
          <w:szCs w:val="20"/>
          <w:lang w:eastAsia="ja-JP"/>
        </w:rPr>
        <w:tab/>
      </w:r>
      <w:r w:rsidRPr="0058753F">
        <w:rPr>
          <w:sz w:val="18"/>
          <w:szCs w:val="20"/>
          <w:lang w:eastAsia="ja-JP"/>
        </w:rPr>
        <w:tab/>
      </w:r>
      <w:r w:rsidRPr="0058753F">
        <w:rPr>
          <w:sz w:val="18"/>
          <w:szCs w:val="20"/>
          <w:lang w:eastAsia="ja-JP"/>
        </w:rPr>
        <w:tab/>
        <w:t xml:space="preserve">     </w:t>
      </w:r>
      <w:r>
        <w:rPr>
          <w:sz w:val="18"/>
          <w:szCs w:val="20"/>
          <w:lang w:eastAsia="ja-JP"/>
        </w:rPr>
        <w:t>686</w:t>
      </w:r>
    </w:p>
    <w:p w14:paraId="4A9BEBEB" w14:textId="77777777" w:rsidR="001346DD" w:rsidRDefault="001346DD" w:rsidP="001346DD">
      <w:pPr>
        <w:pStyle w:val="Sourcecaptions"/>
        <w:rPr>
          <w:sz w:val="18"/>
          <w:szCs w:val="20"/>
          <w:lang w:eastAsia="ja-JP"/>
        </w:rPr>
      </w:pPr>
      <w:r w:rsidRPr="00B8012D">
        <w:rPr>
          <w:sz w:val="18"/>
          <w:szCs w:val="20"/>
          <w:vertAlign w:val="superscript"/>
          <w:lang w:eastAsia="ja-JP"/>
        </w:rPr>
        <w:t>[</w:t>
      </w:r>
      <w:r>
        <w:rPr>
          <w:sz w:val="18"/>
          <w:szCs w:val="20"/>
          <w:vertAlign w:val="superscript"/>
          <w:lang w:eastAsia="ja-JP"/>
        </w:rPr>
        <w:t>2</w:t>
      </w:r>
      <w:r w:rsidRPr="00B8012D">
        <w:rPr>
          <w:sz w:val="18"/>
          <w:szCs w:val="20"/>
          <w:vertAlign w:val="superscript"/>
          <w:lang w:eastAsia="ja-JP"/>
        </w:rPr>
        <w:t>]</w:t>
      </w:r>
      <w:r w:rsidRPr="00B8012D">
        <w:rPr>
          <w:sz w:val="18"/>
          <w:szCs w:val="20"/>
          <w:lang w:eastAsia="ja-JP"/>
        </w:rPr>
        <w:t xml:space="preserve"> Forecast institutional employment and gross floor area has been adjusted downward to account for employment associated with special care units.</w:t>
      </w:r>
    </w:p>
    <w:p w14:paraId="5AB66CE9" w14:textId="77777777" w:rsidR="001346DD" w:rsidRDefault="001346DD" w:rsidP="001346DD">
      <w:pPr>
        <w:pStyle w:val="Sourcecaptions"/>
        <w:rPr>
          <w:sz w:val="18"/>
          <w:szCs w:val="20"/>
          <w:lang w:eastAsia="ja-JP"/>
        </w:rPr>
      </w:pPr>
      <w:r w:rsidRPr="0058753F">
        <w:rPr>
          <w:sz w:val="18"/>
          <w:szCs w:val="18"/>
          <w:vertAlign w:val="superscript"/>
          <w:lang w:eastAsia="ja-JP"/>
        </w:rPr>
        <w:t>[</w:t>
      </w:r>
      <w:r>
        <w:rPr>
          <w:sz w:val="18"/>
          <w:szCs w:val="18"/>
          <w:vertAlign w:val="superscript"/>
          <w:lang w:eastAsia="ja-JP"/>
        </w:rPr>
        <w:t>3</w:t>
      </w:r>
      <w:r w:rsidRPr="0058753F">
        <w:rPr>
          <w:sz w:val="18"/>
          <w:szCs w:val="18"/>
          <w:vertAlign w:val="superscript"/>
          <w:lang w:eastAsia="ja-JP"/>
        </w:rPr>
        <w:t>]</w:t>
      </w:r>
      <w:r w:rsidRPr="0058753F">
        <w:rPr>
          <w:sz w:val="18"/>
          <w:szCs w:val="20"/>
          <w:lang w:eastAsia="ja-JP"/>
        </w:rPr>
        <w:t xml:space="preserve"> </w:t>
      </w:r>
      <w:r w:rsidRPr="008D6C44">
        <w:rPr>
          <w:sz w:val="18"/>
          <w:szCs w:val="20"/>
          <w:lang w:eastAsia="ja-JP"/>
        </w:rPr>
        <w:t>Employment Increase does not include No Fixed Place of Work.</w:t>
      </w:r>
    </w:p>
    <w:p w14:paraId="237D1EFB" w14:textId="77777777" w:rsidR="001346DD" w:rsidRDefault="001346DD" w:rsidP="001346DD">
      <w:pPr>
        <w:pStyle w:val="Sourcecaptions"/>
        <w:rPr>
          <w:sz w:val="18"/>
          <w:szCs w:val="20"/>
          <w:lang w:eastAsia="ja-JP"/>
        </w:rPr>
      </w:pPr>
      <w:r w:rsidRPr="008D6C44">
        <w:rPr>
          <w:sz w:val="18"/>
          <w:szCs w:val="20"/>
          <w:lang w:eastAsia="ja-JP"/>
        </w:rPr>
        <w:t xml:space="preserve">*Reflects </w:t>
      </w:r>
      <w:r>
        <w:rPr>
          <w:sz w:val="18"/>
          <w:szCs w:val="20"/>
          <w:lang w:eastAsia="ja-JP"/>
        </w:rPr>
        <w:t>Late-2023</w:t>
      </w:r>
      <w:r w:rsidRPr="008D6C44">
        <w:rPr>
          <w:sz w:val="18"/>
          <w:szCs w:val="20"/>
          <w:lang w:eastAsia="ja-JP"/>
        </w:rPr>
        <w:t xml:space="preserve"> to </w:t>
      </w:r>
      <w:r>
        <w:rPr>
          <w:sz w:val="18"/>
          <w:szCs w:val="20"/>
          <w:lang w:eastAsia="ja-JP"/>
        </w:rPr>
        <w:t>Late-2033</w:t>
      </w:r>
      <w:r w:rsidRPr="008D6C44">
        <w:rPr>
          <w:sz w:val="18"/>
          <w:szCs w:val="20"/>
          <w:lang w:eastAsia="ja-JP"/>
        </w:rPr>
        <w:t xml:space="preserve"> forecast period</w:t>
      </w:r>
      <w:r>
        <w:rPr>
          <w:sz w:val="18"/>
          <w:szCs w:val="20"/>
          <w:lang w:eastAsia="ja-JP"/>
        </w:rPr>
        <w:t>.</w:t>
      </w:r>
    </w:p>
    <w:p w14:paraId="121A5216" w14:textId="77777777" w:rsidR="001346DD" w:rsidRDefault="001346DD" w:rsidP="001346DD">
      <w:pPr>
        <w:pStyle w:val="Sourcecaptions"/>
        <w:rPr>
          <w:sz w:val="18"/>
          <w:szCs w:val="20"/>
          <w:lang w:eastAsia="ja-JP"/>
        </w:rPr>
      </w:pPr>
      <w:r w:rsidRPr="008D6C44">
        <w:rPr>
          <w:sz w:val="18"/>
          <w:szCs w:val="20"/>
          <w:lang w:eastAsia="ja-JP"/>
        </w:rPr>
        <w:t>Note:  Numbers may not add up precisely due to rounding.</w:t>
      </w:r>
    </w:p>
    <w:p w14:paraId="16CBD3BC" w14:textId="77777777" w:rsidR="001346DD" w:rsidRPr="00B712E9" w:rsidRDefault="001346DD" w:rsidP="001346DD">
      <w:pPr>
        <w:pStyle w:val="Sourcecaptions"/>
        <w:rPr>
          <w:sz w:val="18"/>
          <w:szCs w:val="20"/>
          <w:lang w:eastAsia="ja-JP"/>
        </w:rPr>
      </w:pPr>
      <w:r w:rsidRPr="0058753F">
        <w:rPr>
          <w:sz w:val="18"/>
          <w:szCs w:val="20"/>
          <w:lang w:eastAsia="ja-JP"/>
        </w:rPr>
        <w:t xml:space="preserve">Source:  </w:t>
      </w:r>
      <w:r w:rsidRPr="0058753F">
        <w:rPr>
          <w:sz w:val="18"/>
          <w:szCs w:val="20"/>
          <w:lang w:val="en-CA" w:eastAsia="ja-JP"/>
        </w:rPr>
        <w:t>Watson &amp; Associates Economists Ltd.</w:t>
      </w:r>
    </w:p>
    <w:p w14:paraId="2486A08D" w14:textId="77777777" w:rsidR="001346DD" w:rsidRDefault="001346DD" w:rsidP="001346DD">
      <w:pPr>
        <w:pStyle w:val="BodyText125"/>
        <w:rPr>
          <w:noProof/>
        </w:rPr>
        <w:sectPr w:rsidR="001346DD" w:rsidSect="0084196F">
          <w:footnotePr>
            <w:numRestart w:val="eachPage"/>
          </w:footnotePr>
          <w:pgSz w:w="15840" w:h="12240" w:orient="landscape" w:code="1"/>
          <w:pgMar w:top="1440" w:right="1440" w:bottom="1440" w:left="1440" w:header="432" w:footer="619" w:gutter="0"/>
          <w:cols w:space="708"/>
          <w:titlePg/>
          <w:docGrid w:linePitch="360"/>
        </w:sectPr>
      </w:pPr>
    </w:p>
    <w:p w14:paraId="4253B12A" w14:textId="77777777" w:rsidR="001D78DB" w:rsidRDefault="00750DB7" w:rsidP="00D512A1">
      <w:pPr>
        <w:pStyle w:val="APPDividerTitle"/>
      </w:pPr>
      <w:bookmarkStart w:id="509" w:name="_Toc520822998"/>
      <w:bookmarkStart w:id="510" w:name="_Toc520911043"/>
      <w:bookmarkStart w:id="511" w:name="_Toc520911424"/>
      <w:bookmarkStart w:id="512" w:name="_Toc154068823"/>
      <w:r w:rsidRPr="00D512A1">
        <w:rPr>
          <w:rStyle w:val="APPdividerChar"/>
        </w:rPr>
        <w:t>Appendix B</w:t>
      </w:r>
      <w:r w:rsidR="009E2107">
        <w:rPr>
          <w:rStyle w:val="APPdividerChar"/>
        </w:rPr>
        <w:tab/>
      </w:r>
      <w:r w:rsidR="00620725">
        <w:br/>
      </w:r>
      <w:r w:rsidRPr="00D512A1">
        <w:t>Level of Service</w:t>
      </w:r>
      <w:bookmarkEnd w:id="509"/>
      <w:bookmarkEnd w:id="510"/>
      <w:bookmarkEnd w:id="511"/>
      <w:bookmarkEnd w:id="512"/>
    </w:p>
    <w:p w14:paraId="1FC05FF7" w14:textId="77777777" w:rsidR="00D512A1" w:rsidRDefault="00D512A1" w:rsidP="00D512A1">
      <w:pPr>
        <w:pStyle w:val="APPDividerTitle"/>
        <w:sectPr w:rsidR="00D512A1" w:rsidSect="00CE12B2">
          <w:footerReference w:type="default" r:id="rId108"/>
          <w:footerReference w:type="first" r:id="rId109"/>
          <w:footnotePr>
            <w:numRestart w:val="eachPage"/>
          </w:footnotePr>
          <w:pgSz w:w="12240" w:h="15840" w:code="1"/>
          <w:pgMar w:top="1440" w:right="1440" w:bottom="1440" w:left="1440" w:header="432" w:footer="619" w:gutter="0"/>
          <w:pgNumType w:start="1"/>
          <w:cols w:space="708"/>
          <w:titlePg/>
          <w:docGrid w:linePitch="360"/>
        </w:sectPr>
      </w:pPr>
    </w:p>
    <w:p w14:paraId="37417DF7" w14:textId="6F4FBF93" w:rsidR="009A6E78" w:rsidRDefault="00194B3A" w:rsidP="00B57375">
      <w:pPr>
        <w:pStyle w:val="APP1stpage"/>
        <w:spacing w:after="360"/>
        <w:contextualSpacing w:val="0"/>
        <w:jc w:val="center"/>
        <w:sectPr w:rsidR="009A6E78" w:rsidSect="009A6E78">
          <w:footnotePr>
            <w:numRestart w:val="eachPage"/>
          </w:footnotePr>
          <w:pgSz w:w="20160" w:h="12240" w:orient="landscape" w:code="5"/>
          <w:pgMar w:top="1440" w:right="1440" w:bottom="1440" w:left="1440" w:header="432" w:footer="619" w:gutter="0"/>
          <w:cols w:space="708"/>
          <w:titlePg/>
          <w:docGrid w:linePitch="360"/>
        </w:sectPr>
      </w:pPr>
      <w:r w:rsidRPr="007756F1">
        <w:rPr>
          <w:rStyle w:val="BodyText125Char"/>
          <w:rFonts w:eastAsiaTheme="majorEastAsia"/>
        </w:rPr>
        <w:t xml:space="preserve">Appendix </w:t>
      </w:r>
      <w:r w:rsidR="00A043B7" w:rsidRPr="007756F1">
        <w:rPr>
          <w:rStyle w:val="BodyText125Char"/>
          <w:rFonts w:eastAsiaTheme="majorEastAsia"/>
        </w:rPr>
        <w:t>B</w:t>
      </w:r>
      <w:r w:rsidR="003930AA" w:rsidRPr="007756F1">
        <w:rPr>
          <w:rStyle w:val="BodyText125Char"/>
          <w:rFonts w:eastAsiaTheme="majorEastAsia"/>
        </w:rPr>
        <w:t xml:space="preserve">:  </w:t>
      </w:r>
      <w:r w:rsidRPr="007756F1">
        <w:rPr>
          <w:rStyle w:val="BodyText125Char"/>
          <w:rFonts w:eastAsiaTheme="majorEastAsia"/>
        </w:rPr>
        <w:t>Level of Service</w:t>
      </w:r>
      <w:r w:rsidR="007756F1" w:rsidRPr="007756F1">
        <w:rPr>
          <w:noProof/>
        </w:rPr>
        <w:drawing>
          <wp:inline distT="0" distB="0" distL="0" distR="0" wp14:anchorId="41AE7457" wp14:editId="3DAE4174">
            <wp:extent cx="10549741" cy="4304146"/>
            <wp:effectExtent l="0" t="0" r="0" b="0"/>
            <wp:docPr id="827975495" name="Picture 1" descr="This table is a summary of the service standards as per the development charges act, 1997, as a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75495" name="Picture 1" descr="This table is a summary of the service standards as per the development charges act, 1997, as amend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575391" cy="4314611"/>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2BDBF8C3" wp14:editId="3A8AC6D3">
            <wp:extent cx="10972800" cy="4286885"/>
            <wp:effectExtent l="0" t="0" r="0" b="0"/>
            <wp:docPr id="696152571" name="Picture 21" descr="This table outlines the service standard calculation sheet for services related to a highway - ro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152571" name="Picture 21" descr="This table outlines the service standard calculation sheet for services related to a highway - roads. "/>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972800" cy="4286885"/>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2287F6BA" wp14:editId="78977A24">
            <wp:extent cx="10972800" cy="3406140"/>
            <wp:effectExtent l="0" t="0" r="0" b="3810"/>
            <wp:docPr id="1027790480" name="Picture 22" descr="This table outlines the service standard calculation sheet for services related to a highway - bridges, culverts and struct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90480" name="Picture 22" descr="This table outlines the service standard calculation sheet for services related to a highway - bridges, culverts and structures. "/>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972800" cy="3406140"/>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5BF63170" wp14:editId="06ABD69D">
            <wp:extent cx="10972800" cy="5173980"/>
            <wp:effectExtent l="0" t="0" r="0" b="7620"/>
            <wp:docPr id="101235799" name="Picture 23" descr="This table outlines the service standard calculation sheet for services related to a highway - active transpor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5799" name="Picture 23" descr="This table outlines the service standard calculation sheet for services related to a highway - active transportation.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972800" cy="5173980"/>
                    </a:xfrm>
                    <a:prstGeom prst="rect">
                      <a:avLst/>
                    </a:prstGeom>
                    <a:noFill/>
                    <a:ln>
                      <a:noFill/>
                    </a:ln>
                  </pic:spPr>
                </pic:pic>
              </a:graphicData>
            </a:graphic>
          </wp:inline>
        </w:drawing>
      </w:r>
      <w:r w:rsidR="009A6E78" w:rsidRPr="009A6E78">
        <w:t xml:space="preserve"> </w:t>
      </w:r>
      <w:r w:rsidR="00776284" w:rsidRPr="00776284">
        <w:rPr>
          <w:noProof/>
        </w:rPr>
        <w:drawing>
          <wp:inline distT="0" distB="0" distL="0" distR="0" wp14:anchorId="7AF0BA29" wp14:editId="7213026A">
            <wp:extent cx="10972800" cy="5354955"/>
            <wp:effectExtent l="0" t="0" r="0" b="0"/>
            <wp:docPr id="1187105665" name="Picture 2" descr="This table outlines the service standard calculation sheet for public works -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05665" name="Picture 2" descr="This table outlines the service standard calculation sheet for public works - facilitie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972800" cy="5354955"/>
                    </a:xfrm>
                    <a:prstGeom prst="rect">
                      <a:avLst/>
                    </a:prstGeom>
                    <a:noFill/>
                    <a:ln>
                      <a:noFill/>
                    </a:ln>
                  </pic:spPr>
                </pic:pic>
              </a:graphicData>
            </a:graphic>
          </wp:inline>
        </w:drawing>
      </w:r>
      <w:r w:rsidR="009A6E78" w:rsidRPr="009A6E78">
        <w:t xml:space="preserve"> </w:t>
      </w:r>
      <w:r w:rsidR="00776284" w:rsidRPr="00776284">
        <w:rPr>
          <w:noProof/>
        </w:rPr>
        <w:drawing>
          <wp:inline distT="0" distB="0" distL="0" distR="0" wp14:anchorId="3D647B78" wp14:editId="10A2622B">
            <wp:extent cx="10972800" cy="5755640"/>
            <wp:effectExtent l="0" t="0" r="0" b="0"/>
            <wp:docPr id="962455556" name="Picture 3" descr="This table outlines the service standard calculation sheet for public works - vehicles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55556" name="Picture 3" descr="This table outlines the service standard calculation sheet for public works - vehicles and equipment."/>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972800" cy="5755640"/>
                    </a:xfrm>
                    <a:prstGeom prst="rect">
                      <a:avLst/>
                    </a:prstGeom>
                    <a:noFill/>
                    <a:ln>
                      <a:noFill/>
                    </a:ln>
                  </pic:spPr>
                </pic:pic>
              </a:graphicData>
            </a:graphic>
          </wp:inline>
        </w:drawing>
      </w:r>
      <w:r w:rsidR="009A6E78" w:rsidRPr="009A6E78">
        <w:t xml:space="preserve">   </w:t>
      </w:r>
      <w:r w:rsidR="00776284" w:rsidRPr="00776284">
        <w:rPr>
          <w:noProof/>
        </w:rPr>
        <w:drawing>
          <wp:inline distT="0" distB="0" distL="0" distR="0" wp14:anchorId="210FDB7C" wp14:editId="040901E0">
            <wp:extent cx="10972800" cy="3765550"/>
            <wp:effectExtent l="0" t="0" r="0" b="0"/>
            <wp:docPr id="243947029" name="Picture 5" descr="This table outlines the service standard calculation sheet for public works - vehicles and equipment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47029" name="Picture 5" descr="This table outlines the service standard calculation sheet for public works - vehicles and equipment - continu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972800" cy="3765550"/>
                    </a:xfrm>
                    <a:prstGeom prst="rect">
                      <a:avLst/>
                    </a:prstGeom>
                    <a:noFill/>
                    <a:ln>
                      <a:noFill/>
                    </a:ln>
                  </pic:spPr>
                </pic:pic>
              </a:graphicData>
            </a:graphic>
          </wp:inline>
        </w:drawing>
      </w:r>
      <w:r w:rsidR="00776284" w:rsidRPr="00776284">
        <w:t xml:space="preserve"> </w:t>
      </w:r>
      <w:r w:rsidR="00776284" w:rsidRPr="00776284">
        <w:rPr>
          <w:noProof/>
        </w:rPr>
        <w:drawing>
          <wp:inline distT="0" distB="0" distL="0" distR="0" wp14:anchorId="1728395C" wp14:editId="70A13BF1">
            <wp:extent cx="10972800" cy="4152900"/>
            <wp:effectExtent l="0" t="0" r="0" b="0"/>
            <wp:docPr id="1357982534" name="Picture 6" descr="This table outlines the service standard calculation sheet for public works - vehicles and equipment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82534" name="Picture 6" descr="This table outlines the service standard calculation sheet for public works - vehicles and equipment - continue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972800" cy="4152900"/>
                    </a:xfrm>
                    <a:prstGeom prst="rect">
                      <a:avLst/>
                    </a:prstGeom>
                    <a:noFill/>
                    <a:ln>
                      <a:noFill/>
                    </a:ln>
                  </pic:spPr>
                </pic:pic>
              </a:graphicData>
            </a:graphic>
          </wp:inline>
        </w:drawing>
      </w:r>
      <w:r w:rsidR="009A6E78" w:rsidRPr="009A6E78">
        <w:rPr>
          <w:noProof/>
        </w:rPr>
        <w:drawing>
          <wp:inline distT="0" distB="0" distL="0" distR="0" wp14:anchorId="39E2F15F" wp14:editId="294A9128">
            <wp:extent cx="10972800" cy="4799965"/>
            <wp:effectExtent l="0" t="0" r="0" b="635"/>
            <wp:docPr id="1015742002" name="Picture 32" descr="This table outlines the service standard calculation sheet for fire protection services -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42002" name="Picture 32" descr="This table outlines the service standard calculation sheet for fire protection services - facilitie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972800" cy="4799965"/>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053BC76F" wp14:editId="7EB4305A">
            <wp:extent cx="10972800" cy="5446395"/>
            <wp:effectExtent l="0" t="0" r="0" b="1905"/>
            <wp:docPr id="347259501" name="Picture 33" descr="This table outlines the service standard calculation sheet for fire protection services - vehicles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59501" name="Picture 33" descr="This table outlines the service standard calculation sheet for fire protection services - vehicles and equipmen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972800" cy="5446395"/>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0C0A1CF2" wp14:editId="03A6B0B8">
            <wp:extent cx="10972800" cy="4505325"/>
            <wp:effectExtent l="0" t="0" r="0" b="9525"/>
            <wp:docPr id="421265578" name="Picture 34" descr="This table outlines the service standard calculation sheet for fire protection services - small equipment and g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65578" name="Picture 34" descr="This table outlines the service standard calculation sheet for fire protection services - small equipment and gea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0972800" cy="4505325"/>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67C8C657" wp14:editId="571E0F2A">
            <wp:extent cx="10972800" cy="5069205"/>
            <wp:effectExtent l="0" t="0" r="0" b="0"/>
            <wp:docPr id="1570030217" name="Picture 36" descr="This table outlines the service standard calculation sheet for fire protection services - small equipment and gear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0217" name="Picture 36" descr="This table outlines the service standard calculation sheet for fire protection services - small equipment and gear - continu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0972800" cy="5069205"/>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5C2A6AAA" wp14:editId="6F395A2C">
            <wp:extent cx="10972800" cy="4954270"/>
            <wp:effectExtent l="0" t="0" r="0" b="0"/>
            <wp:docPr id="606081008" name="Picture 37" descr="This table outlines the service standard calculation sheet for fire protection services - small equipment and gear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81008" name="Picture 37" descr="This table outlines the service standard calculation sheet for fire protection services - small equipment and gear - continu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972800" cy="4954270"/>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29E1783D" wp14:editId="41C8E767">
            <wp:extent cx="10972800" cy="4321175"/>
            <wp:effectExtent l="0" t="0" r="0" b="3175"/>
            <wp:docPr id="701680051" name="Picture 38" descr="This table outlines the service standard calculation sheet for fire protection services - small equipment and gear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80051" name="Picture 38" descr="This table outlines the service standard calculation sheet for fire protection services - small equipment and gear - continu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0972800" cy="4321175"/>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12C276B7" wp14:editId="6BDE93AC">
            <wp:extent cx="10972800" cy="3411220"/>
            <wp:effectExtent l="0" t="0" r="0" b="0"/>
            <wp:docPr id="919962151" name="Picture 39" descr="This table outlines the service standard calculation sheet for parks and recreation services - parkl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62151" name="Picture 39" descr="This table outlines the service standard calculation sheet for parks and recreation services - parkland developmen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972800" cy="3411220"/>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3F1D84FC" wp14:editId="7C567237">
            <wp:extent cx="10972800" cy="5323205"/>
            <wp:effectExtent l="0" t="0" r="0" b="0"/>
            <wp:docPr id="990447978" name="Picture 40" descr="This table outlines the service standard calculation sheet for parks and recreation services - parkland ame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47978" name="Picture 40" descr="This table outlines the service standard calculation sheet for parks and recreation services - parkland amenities."/>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972800" cy="5323205"/>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3E0C97D3" wp14:editId="333E7FA3">
            <wp:extent cx="10972800" cy="5076190"/>
            <wp:effectExtent l="0" t="0" r="0" b="0"/>
            <wp:docPr id="597950220" name="Picture 41" descr="This table outlines the service standard calculation sheet for parks and recreation services - parkland amenities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50220" name="Picture 41" descr="This table outlines the service standard calculation sheet for parks and recreation services - parkland amenities - continu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972800" cy="5076190"/>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0E42039D" wp14:editId="4DF28E33">
            <wp:extent cx="10972800" cy="4434840"/>
            <wp:effectExtent l="0" t="0" r="0" b="3810"/>
            <wp:docPr id="335652459" name="Picture 42" descr="This table outlines the service standard calculation sheet for parks and recreation services - parkland amenities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52459" name="Picture 42" descr="This table outlines the service standard calculation sheet for parks and recreation services - parkland amenities - continued."/>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0972800" cy="4434840"/>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7348B273" wp14:editId="642D335D">
            <wp:extent cx="10972800" cy="4606290"/>
            <wp:effectExtent l="0" t="0" r="0" b="3810"/>
            <wp:docPr id="1680613859" name="Picture 43" descr="This table outlines the service standard calculation sheet for parks and recreation services - parkland amenities - parking areas and other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13859" name="Picture 43" descr="This table outlines the service standard calculation sheet for parks and recreation services - parkland amenities - parking areas and other feature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0972800" cy="4606290"/>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2F67B031" wp14:editId="28E0D524">
            <wp:extent cx="10972800" cy="5282565"/>
            <wp:effectExtent l="0" t="0" r="0" b="0"/>
            <wp:docPr id="225704483" name="Picture 44" descr="This table outlines the service standard calculation sheet for parks and recreation services - parkland t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04483" name="Picture 44" descr="This table outlines the service standard calculation sheet for parks and recreation services - parkland trail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0972800" cy="5282565"/>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7D02299F" wp14:editId="7940B0DC">
            <wp:extent cx="10972800" cy="4845685"/>
            <wp:effectExtent l="0" t="0" r="0" b="0"/>
            <wp:docPr id="716978520" name="Picture 45" descr="This table outlines the service standard calculation sheet for parks and recreation services - recreational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78520" name="Picture 45" descr="This table outlines the service standard calculation sheet for parks and recreation services - recreational facilitie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0972800" cy="4845685"/>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3B4B2591" wp14:editId="6F70D3A2">
            <wp:extent cx="10972800" cy="5571490"/>
            <wp:effectExtent l="0" t="0" r="0" b="0"/>
            <wp:docPr id="608815359" name="Picture 46" descr="This table outlines the service standard calculation sheet for parks and recreation services - recreational facilities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15359" name="Picture 46" descr="This table outlines the service standard calculation sheet for parks and recreation services - recreational facilities - continu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0972800" cy="5571490"/>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401D3761" wp14:editId="11C8FA0E">
            <wp:extent cx="9306560" cy="5736921"/>
            <wp:effectExtent l="0" t="0" r="8890" b="0"/>
            <wp:docPr id="697416386" name="Picture 47" descr="This table outlines the service standard calculation sheet for parks and recreation services - vehicles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16386" name="Picture 47" descr="This table outlines the service standard calculation sheet for parks and recreation services - vehicles and equipmen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308281" cy="5737982"/>
                    </a:xfrm>
                    <a:prstGeom prst="rect">
                      <a:avLst/>
                    </a:prstGeom>
                    <a:noFill/>
                    <a:ln>
                      <a:noFill/>
                    </a:ln>
                  </pic:spPr>
                </pic:pic>
              </a:graphicData>
            </a:graphic>
          </wp:inline>
        </w:drawing>
      </w:r>
      <w:r w:rsidR="009A6E78" w:rsidRPr="009A6E78">
        <w:t xml:space="preserve"> </w:t>
      </w:r>
      <w:r w:rsidR="009A6E78" w:rsidRPr="009A6E78">
        <w:rPr>
          <w:noProof/>
        </w:rPr>
        <w:drawing>
          <wp:inline distT="0" distB="0" distL="0" distR="0" wp14:anchorId="717CA451" wp14:editId="2379B943">
            <wp:extent cx="10972800" cy="4438650"/>
            <wp:effectExtent l="0" t="0" r="0" b="0"/>
            <wp:docPr id="374075688" name="Picture 48" descr="This table outlines the service standard calculation sheet for library services -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075688" name="Picture 48" descr="This table outlines the service standard calculation sheet for library services - facilities."/>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972800" cy="4438650"/>
                    </a:xfrm>
                    <a:prstGeom prst="rect">
                      <a:avLst/>
                    </a:prstGeom>
                    <a:noFill/>
                    <a:ln>
                      <a:noFill/>
                    </a:ln>
                  </pic:spPr>
                </pic:pic>
              </a:graphicData>
            </a:graphic>
          </wp:inline>
        </w:drawing>
      </w:r>
      <w:r w:rsidR="00505740" w:rsidRPr="00505740">
        <w:t xml:space="preserve">  </w:t>
      </w:r>
      <w:r w:rsidR="00776284" w:rsidRPr="00776284">
        <w:rPr>
          <w:noProof/>
        </w:rPr>
        <w:drawing>
          <wp:inline distT="0" distB="0" distL="0" distR="0" wp14:anchorId="50149BB6" wp14:editId="09D1AC19">
            <wp:extent cx="10972800" cy="4686300"/>
            <wp:effectExtent l="0" t="0" r="0" b="0"/>
            <wp:docPr id="1584359978" name="Picture 8" descr="This table outlines the service standard calculation sheet for library services - collection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59978" name="Picture 8" descr="This table outlines the service standard calculation sheet for library services - collection material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972800" cy="4686300"/>
                    </a:xfrm>
                    <a:prstGeom prst="rect">
                      <a:avLst/>
                    </a:prstGeom>
                    <a:noFill/>
                    <a:ln>
                      <a:noFill/>
                    </a:ln>
                  </pic:spPr>
                </pic:pic>
              </a:graphicData>
            </a:graphic>
          </wp:inline>
        </w:drawing>
      </w:r>
      <w:r w:rsidR="00776284" w:rsidRPr="00776284">
        <w:t xml:space="preserve"> </w:t>
      </w:r>
      <w:r w:rsidR="00776284" w:rsidRPr="00776284">
        <w:rPr>
          <w:noProof/>
        </w:rPr>
        <w:drawing>
          <wp:inline distT="0" distB="0" distL="0" distR="0" wp14:anchorId="1057A132" wp14:editId="7AD788CC">
            <wp:extent cx="10972800" cy="4854575"/>
            <wp:effectExtent l="0" t="0" r="0" b="0"/>
            <wp:docPr id="687840137" name="Picture 9" descr="This table outlines the service standard calculation sheet for library services - collection materials -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40137" name="Picture 9" descr="This table outlines the service standard calculation sheet for library services - collection materials - continu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972800" cy="4854575"/>
                    </a:xfrm>
                    <a:prstGeom prst="rect">
                      <a:avLst/>
                    </a:prstGeom>
                    <a:noFill/>
                    <a:ln>
                      <a:noFill/>
                    </a:ln>
                  </pic:spPr>
                </pic:pic>
              </a:graphicData>
            </a:graphic>
          </wp:inline>
        </w:drawing>
      </w:r>
    </w:p>
    <w:p w14:paraId="668A2D04" w14:textId="77777777" w:rsidR="00750DB7" w:rsidRPr="003930AA" w:rsidRDefault="00750DB7" w:rsidP="003930AA">
      <w:pPr>
        <w:pStyle w:val="APPdivider"/>
        <w:sectPr w:rsidR="00750DB7" w:rsidRPr="003930AA" w:rsidSect="00CE12B2">
          <w:footerReference w:type="default" r:id="rId136"/>
          <w:footerReference w:type="first" r:id="rId137"/>
          <w:footnotePr>
            <w:numRestart w:val="eachPage"/>
          </w:footnotePr>
          <w:pgSz w:w="12240" w:h="15840" w:code="1"/>
          <w:pgMar w:top="1440" w:right="1440" w:bottom="1440" w:left="1440" w:header="432" w:footer="619" w:gutter="0"/>
          <w:pgNumType w:start="1"/>
          <w:cols w:space="708"/>
          <w:titlePg/>
          <w:docGrid w:linePitch="360"/>
        </w:sectPr>
      </w:pPr>
      <w:bookmarkStart w:id="513" w:name="_Toc154068824"/>
      <w:r w:rsidRPr="003930AA">
        <w:t>Appendix C</w:t>
      </w:r>
      <w:r w:rsidR="009E2107">
        <w:tab/>
      </w:r>
      <w:r w:rsidR="00620725">
        <w:br/>
      </w:r>
      <w:r w:rsidRPr="00DC5440">
        <w:rPr>
          <w:rStyle w:val="APPDividerTitleChar"/>
          <w:color w:val="000000"/>
        </w:rPr>
        <w:t>Long-Term Capital and Operating Cost Examination</w:t>
      </w:r>
      <w:bookmarkEnd w:id="513"/>
      <w:r w:rsidRPr="00DC5440">
        <w:t xml:space="preserve"> </w:t>
      </w:r>
    </w:p>
    <w:p w14:paraId="5DEDECCF" w14:textId="77777777" w:rsidR="00104209" w:rsidRPr="0067489A" w:rsidRDefault="00F21AFA" w:rsidP="00F21AFA">
      <w:pPr>
        <w:pStyle w:val="APP1stpage"/>
        <w:rPr>
          <w:noProof/>
        </w:rPr>
      </w:pPr>
      <w:r>
        <w:rPr>
          <w:noProof/>
        </w:rPr>
        <w:t>Appendix C</w:t>
      </w:r>
      <w:r w:rsidR="003930AA">
        <w:rPr>
          <w:noProof/>
        </w:rPr>
        <w:t xml:space="preserve">:  </w:t>
      </w:r>
      <w:r>
        <w:rPr>
          <w:noProof/>
        </w:rPr>
        <w:t xml:space="preserve">Long-Term Capital and Operating </w:t>
      </w:r>
      <w:r w:rsidRPr="0067489A">
        <w:rPr>
          <w:noProof/>
        </w:rPr>
        <w:t>Cost Examination</w:t>
      </w:r>
    </w:p>
    <w:p w14:paraId="0BA2B2CB" w14:textId="4AA03BB3" w:rsidR="00F21AFA" w:rsidRPr="0067489A" w:rsidRDefault="00A1355F" w:rsidP="00BD47E5">
      <w:pPr>
        <w:pStyle w:val="BodyText125"/>
        <w:contextualSpacing/>
        <w:jc w:val="center"/>
        <w:rPr>
          <w:b/>
        </w:rPr>
      </w:pPr>
      <w:r w:rsidRPr="0067489A">
        <w:rPr>
          <w:b/>
        </w:rPr>
        <w:t>City</w:t>
      </w:r>
      <w:r w:rsidR="00F21AFA" w:rsidRPr="0067489A">
        <w:rPr>
          <w:b/>
        </w:rPr>
        <w:t xml:space="preserve"> of </w:t>
      </w:r>
      <w:r w:rsidRPr="0067489A">
        <w:rPr>
          <w:b/>
        </w:rPr>
        <w:t>Cambridge</w:t>
      </w:r>
    </w:p>
    <w:p w14:paraId="7BB1D74E" w14:textId="77777777" w:rsidR="00F21AFA" w:rsidRPr="0067489A" w:rsidRDefault="00F21AFA" w:rsidP="00BD47E5">
      <w:pPr>
        <w:pStyle w:val="BodyText125"/>
        <w:jc w:val="center"/>
        <w:rPr>
          <w:b/>
        </w:rPr>
      </w:pPr>
      <w:r w:rsidRPr="0067489A">
        <w:rPr>
          <w:b/>
        </w:rPr>
        <w:t>Annual Capital and Operating Cost Impact</w:t>
      </w:r>
    </w:p>
    <w:p w14:paraId="709DC910" w14:textId="73009A39" w:rsidR="00F21AFA" w:rsidRPr="001F3040" w:rsidRDefault="00F21AFA" w:rsidP="00F21AFA">
      <w:pPr>
        <w:pStyle w:val="BodyText125"/>
      </w:pPr>
      <w:r w:rsidRPr="0067489A">
        <w:t xml:space="preserve">As a requirement of the </w:t>
      </w:r>
      <w:r w:rsidRPr="0067489A">
        <w:rPr>
          <w:i/>
          <w:iCs/>
        </w:rPr>
        <w:t>D</w:t>
      </w:r>
      <w:r w:rsidR="00806780" w:rsidRPr="0067489A">
        <w:rPr>
          <w:i/>
          <w:iCs/>
        </w:rPr>
        <w:t>evelopment Charges Act, 1997</w:t>
      </w:r>
      <w:r w:rsidR="00806780" w:rsidRPr="0067489A">
        <w:t xml:space="preserve">, as amended, </w:t>
      </w:r>
      <w:r w:rsidRPr="0067489A">
        <w:t xml:space="preserve">under </w:t>
      </w:r>
      <w:r w:rsidR="00E16E86" w:rsidRPr="0067489A">
        <w:t xml:space="preserve">subsection </w:t>
      </w:r>
      <w:r w:rsidRPr="0067489A">
        <w:t>10</w:t>
      </w:r>
      <w:r w:rsidR="00825E04" w:rsidRPr="0067489A">
        <w:t xml:space="preserve"> </w:t>
      </w:r>
      <w:r w:rsidRPr="0067489A">
        <w:t>(2)</w:t>
      </w:r>
      <w:r w:rsidR="00825E04" w:rsidRPr="0067489A">
        <w:t xml:space="preserve"> </w:t>
      </w:r>
      <w:r w:rsidRPr="0067489A">
        <w:t xml:space="preserve">(c), an analysis must be undertaken to assess the long-term capital and operating cost impacts for the capital infrastructure projects identified within the </w:t>
      </w:r>
      <w:r w:rsidR="00806780" w:rsidRPr="0067489A">
        <w:t>development charge.</w:t>
      </w:r>
      <w:r w:rsidRPr="0067489A">
        <w:t xml:space="preserve">  As part of this analysis, it was deemed necessary to isolate the incremental operating expenditures directly associated with these capital projects, factor in cost saving</w:t>
      </w:r>
      <w:r w:rsidR="00694A7B" w:rsidRPr="0067489A">
        <w:t>s</w:t>
      </w:r>
      <w:r w:rsidRPr="0067489A">
        <w:t xml:space="preserve"> attributable to economies of scale or cost sharing where applicable and prorate the cost on a per unit basis (i.e. sq.ft. of building space, per vehicle, etc.).  This was undertaken through a review of the </w:t>
      </w:r>
      <w:r w:rsidR="00A1355F" w:rsidRPr="0067489A">
        <w:t>City</w:t>
      </w:r>
      <w:r w:rsidRPr="0067489A">
        <w:t>’s approved 20</w:t>
      </w:r>
      <w:r w:rsidR="0067489A">
        <w:t>2</w:t>
      </w:r>
      <w:r w:rsidRPr="0067489A">
        <w:t>2 Financial Information Return (F</w:t>
      </w:r>
      <w:r w:rsidR="00A31451" w:rsidRPr="0067489A">
        <w:t>.</w:t>
      </w:r>
      <w:r w:rsidRPr="0067489A">
        <w:t>I</w:t>
      </w:r>
      <w:r w:rsidR="00A31451" w:rsidRPr="0067489A">
        <w:t>.</w:t>
      </w:r>
      <w:r w:rsidRPr="0067489A">
        <w:t>R</w:t>
      </w:r>
      <w:r w:rsidR="00A31451" w:rsidRPr="0067489A">
        <w:t>.</w:t>
      </w:r>
      <w:r w:rsidRPr="0067489A">
        <w:t>).</w:t>
      </w:r>
    </w:p>
    <w:p w14:paraId="70376338" w14:textId="77777777" w:rsidR="00F21AFA" w:rsidRPr="001F3040" w:rsidRDefault="00F21AFA" w:rsidP="00F21AFA">
      <w:pPr>
        <w:pStyle w:val="BodyText125"/>
      </w:pPr>
      <w:r w:rsidRPr="001F3040">
        <w:t xml:space="preserve">In addition to the operational impacts, over time the initial capital projects will require replacement.  This replacement of capital is often referred to as </w:t>
      </w:r>
      <w:r w:rsidR="00A75231">
        <w:t>lifecycle</w:t>
      </w:r>
      <w:r w:rsidRPr="001F3040">
        <w:t xml:space="preserve"> cost.  By definition, </w:t>
      </w:r>
      <w:r w:rsidR="00A75231">
        <w:t>lifecycle</w:t>
      </w:r>
      <w:r w:rsidRPr="001F3040">
        <w:t xml:space="preserve"> costs are all the costs which are incurred during the life of a physical asset, from the time its acquisition is first considered, to the time it is taken out of service for disposal or redeployment.  The method selected for </w:t>
      </w:r>
      <w:r w:rsidR="00A75231">
        <w:t>lifecycle</w:t>
      </w:r>
      <w:r w:rsidRPr="001F3040">
        <w:t xml:space="preserve"> costing is the sinking fund method which provides that money will be contributed annually and invested, so that those funds will grow over time to equal the amount required for future replacement.  The following factors were utilized to calculate the annual replacement cost of the capital projects (annual contribution = factor X capital asset cost) and are based on an annual growth rate of 2% (net of inflation) over the average useful life of the asset:</w:t>
      </w:r>
    </w:p>
    <w:p w14:paraId="17E657A7" w14:textId="68A808E4" w:rsidR="00F21AFA" w:rsidRPr="0067489A" w:rsidRDefault="0067489A" w:rsidP="0067489A">
      <w:pPr>
        <w:pStyle w:val="FigureTableTitles"/>
      </w:pPr>
      <w:r w:rsidRPr="0067489A">
        <w:t>Table C-1</w:t>
      </w:r>
    </w:p>
    <w:p w14:paraId="2CBC7357" w14:textId="4D1CE5F8" w:rsidR="0067489A" w:rsidRPr="0067489A" w:rsidRDefault="0067489A" w:rsidP="0067489A">
      <w:pPr>
        <w:pStyle w:val="FigureTableTitles"/>
      </w:pPr>
      <w:r w:rsidRPr="0067489A">
        <w:t>City of Cambridge</w:t>
      </w:r>
    </w:p>
    <w:p w14:paraId="240A4C72" w14:textId="5D052E21" w:rsidR="0067489A" w:rsidRPr="0067489A" w:rsidRDefault="0067489A" w:rsidP="0067489A">
      <w:pPr>
        <w:pStyle w:val="FigureTableTitles"/>
      </w:pPr>
      <w:r w:rsidRPr="0067489A">
        <w:t>Lifecycle Cost Factors and Average Use</w:t>
      </w:r>
      <w:r>
        <w:t>f</w:t>
      </w:r>
      <w:r w:rsidRPr="0067489A">
        <w:t>ul Lives</w:t>
      </w:r>
    </w:p>
    <w:p w14:paraId="6AC90433" w14:textId="65067BFD" w:rsidR="0067489A" w:rsidRPr="0067489A" w:rsidRDefault="0067489A" w:rsidP="0067489A">
      <w:pPr>
        <w:pStyle w:val="BodyText125"/>
        <w:jc w:val="center"/>
      </w:pPr>
      <w:r w:rsidRPr="0067489A">
        <w:rPr>
          <w:noProof/>
        </w:rPr>
        <w:drawing>
          <wp:inline distT="0" distB="0" distL="0" distR="0" wp14:anchorId="07343B79" wp14:editId="6EF03104">
            <wp:extent cx="5227320" cy="1516380"/>
            <wp:effectExtent l="0" t="0" r="0" b="7620"/>
            <wp:docPr id="1665092533" name="Picture 51" descr="This table outlines the lifecycle cost factors and average useful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92533" name="Picture 51" descr="This table outlines the lifecycle cost factors and average useful lives."/>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227320" cy="1516380"/>
                    </a:xfrm>
                    <a:prstGeom prst="rect">
                      <a:avLst/>
                    </a:prstGeom>
                    <a:noFill/>
                    <a:ln>
                      <a:noFill/>
                    </a:ln>
                  </pic:spPr>
                </pic:pic>
              </a:graphicData>
            </a:graphic>
          </wp:inline>
        </w:drawing>
      </w:r>
    </w:p>
    <w:p w14:paraId="132EB9DA" w14:textId="77777777" w:rsidR="00776284" w:rsidRDefault="00F21AFA" w:rsidP="00F21AFA">
      <w:pPr>
        <w:pStyle w:val="BodyText125"/>
        <w:sectPr w:rsidR="00776284" w:rsidSect="00CE12B2">
          <w:footnotePr>
            <w:numRestart w:val="eachPage"/>
          </w:footnotePr>
          <w:pgSz w:w="12240" w:h="15840" w:code="1"/>
          <w:pgMar w:top="1440" w:right="1440" w:bottom="1440" w:left="1440" w:header="432" w:footer="619" w:gutter="0"/>
          <w:cols w:space="708"/>
          <w:titlePg/>
          <w:docGrid w:linePitch="360"/>
        </w:sectPr>
      </w:pPr>
      <w:r w:rsidRPr="0067489A">
        <w:t>Table C-</w:t>
      </w:r>
      <w:r w:rsidR="0067489A" w:rsidRPr="0067489A">
        <w:t>2</w:t>
      </w:r>
      <w:r w:rsidRPr="0067489A">
        <w:t xml:space="preserve"> depicts the annual operating impact resulting from the proposed gross capital projects at the time they are all in place.  It is important to note that, while </w:t>
      </w:r>
      <w:r w:rsidR="00A1355F" w:rsidRPr="0067489A">
        <w:t>City</w:t>
      </w:r>
      <w:r w:rsidRPr="0067489A">
        <w:t xml:space="preserve"> program expenditures will increase with growth in population, the costs associated with the new infrastructure (i.e. facilities) would be delayed until the time these works are in place.</w:t>
      </w:r>
    </w:p>
    <w:p w14:paraId="0C5C84D6" w14:textId="5E7A6934" w:rsidR="00F21AFA" w:rsidRDefault="00F21AFA" w:rsidP="00F21AFA">
      <w:pPr>
        <w:pStyle w:val="FigureTableTitles"/>
      </w:pPr>
      <w:r>
        <w:t>Table C-</w:t>
      </w:r>
      <w:r w:rsidR="0067489A">
        <w:t>2</w:t>
      </w:r>
    </w:p>
    <w:p w14:paraId="6673DEAC" w14:textId="7F7690C8" w:rsidR="0067489A" w:rsidRDefault="0067489A" w:rsidP="00F21AFA">
      <w:pPr>
        <w:pStyle w:val="FigureTableTitles"/>
      </w:pPr>
      <w:r>
        <w:t>City of Cambridge</w:t>
      </w:r>
    </w:p>
    <w:p w14:paraId="6887E014" w14:textId="62E141B8" w:rsidR="0067489A" w:rsidRDefault="0067489A" w:rsidP="00F21AFA">
      <w:pPr>
        <w:pStyle w:val="FigureTableTitles"/>
      </w:pPr>
      <w:r>
        <w:t>Operating and Capital Expenditure Impacts for Future Capital Expenditures</w:t>
      </w:r>
    </w:p>
    <w:p w14:paraId="5460B0C0" w14:textId="729E70E6" w:rsidR="009C53B5" w:rsidRDefault="0001325B" w:rsidP="00B57375">
      <w:pPr>
        <w:pStyle w:val="Captions"/>
        <w:rPr>
          <w:noProof/>
        </w:rPr>
        <w:sectPr w:rsidR="009C53B5" w:rsidSect="00776284">
          <w:footnotePr>
            <w:numRestart w:val="eachPage"/>
          </w:footnotePr>
          <w:pgSz w:w="15840" w:h="12240" w:orient="landscape" w:code="1"/>
          <w:pgMar w:top="1440" w:right="1440" w:bottom="1440" w:left="1440" w:header="432" w:footer="619" w:gutter="0"/>
          <w:cols w:space="708"/>
          <w:titlePg/>
          <w:docGrid w:linePitch="360"/>
        </w:sectPr>
      </w:pPr>
      <w:r w:rsidRPr="0001325B">
        <w:drawing>
          <wp:inline distT="0" distB="0" distL="0" distR="0" wp14:anchorId="2D90DE85" wp14:editId="1B7D102E">
            <wp:extent cx="8229600" cy="3987800"/>
            <wp:effectExtent l="0" t="0" r="0" b="0"/>
            <wp:docPr id="77281881" name="Picture 2" descr="Operating and Capital Expenditure Impacts for Future Capital Expendi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1881" name="Picture 2" descr="Operating and Capital Expenditure Impacts for Future Capital Expenditure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229600" cy="3987800"/>
                    </a:xfrm>
                    <a:prstGeom prst="rect">
                      <a:avLst/>
                    </a:prstGeom>
                    <a:noFill/>
                    <a:ln>
                      <a:noFill/>
                    </a:ln>
                  </pic:spPr>
                </pic:pic>
              </a:graphicData>
            </a:graphic>
          </wp:inline>
        </w:drawing>
      </w:r>
    </w:p>
    <w:p w14:paraId="1C6999A2" w14:textId="77777777" w:rsidR="003425B6" w:rsidRPr="003930AA" w:rsidRDefault="003425B6" w:rsidP="003930AA">
      <w:pPr>
        <w:pStyle w:val="APPdivider"/>
        <w:sectPr w:rsidR="003425B6" w:rsidRPr="003930AA" w:rsidSect="00CE12B2">
          <w:footerReference w:type="default" r:id="rId140"/>
          <w:footerReference w:type="first" r:id="rId141"/>
          <w:footnotePr>
            <w:numRestart w:val="eachPage"/>
          </w:footnotePr>
          <w:pgSz w:w="12240" w:h="15840" w:code="1"/>
          <w:pgMar w:top="1440" w:right="1440" w:bottom="1440" w:left="1440" w:header="432" w:footer="619" w:gutter="0"/>
          <w:pgNumType w:start="1"/>
          <w:cols w:space="708"/>
          <w:titlePg/>
          <w:docGrid w:linePitch="360"/>
        </w:sectPr>
      </w:pPr>
      <w:bookmarkStart w:id="514" w:name="_Toc154068825"/>
      <w:r w:rsidRPr="003930AA">
        <w:t>Appendix D</w:t>
      </w:r>
      <w:r w:rsidR="009E2107">
        <w:tab/>
      </w:r>
      <w:r w:rsidR="00620725">
        <w:br/>
      </w:r>
      <w:r w:rsidRPr="00DC5440">
        <w:rPr>
          <w:rStyle w:val="APPDividerTitleChar"/>
          <w:color w:val="000000"/>
        </w:rPr>
        <w:t>D.C. Reserve Fund Policy</w:t>
      </w:r>
      <w:bookmarkEnd w:id="514"/>
      <w:r w:rsidRPr="00DC5440">
        <w:t xml:space="preserve"> </w:t>
      </w:r>
    </w:p>
    <w:p w14:paraId="1A379433" w14:textId="77777777" w:rsidR="00104209" w:rsidRPr="00A043B7" w:rsidRDefault="00A043B7" w:rsidP="00A043B7">
      <w:pPr>
        <w:pStyle w:val="APP1stpage"/>
      </w:pPr>
      <w:r>
        <w:rPr>
          <w:noProof/>
        </w:rPr>
        <w:t>Appendix D</w:t>
      </w:r>
      <w:r w:rsidR="003930AA">
        <w:rPr>
          <w:noProof/>
        </w:rPr>
        <w:t>:</w:t>
      </w:r>
      <w:r>
        <w:rPr>
          <w:noProof/>
        </w:rPr>
        <w:t xml:space="preserve">  D.C. Reserve Fund Policy</w:t>
      </w:r>
    </w:p>
    <w:p w14:paraId="613D32C8" w14:textId="77777777" w:rsidR="00BD47E5" w:rsidRPr="00BD47E5" w:rsidRDefault="00BD47E5" w:rsidP="00BD47E5">
      <w:pPr>
        <w:pStyle w:val="BodyText125"/>
        <w:rPr>
          <w:b/>
          <w:noProof/>
        </w:rPr>
      </w:pPr>
      <w:r w:rsidRPr="00BD47E5">
        <w:rPr>
          <w:b/>
          <w:noProof/>
        </w:rPr>
        <w:t>D.1</w:t>
      </w:r>
      <w:r w:rsidRPr="00BD47E5">
        <w:rPr>
          <w:b/>
          <w:noProof/>
        </w:rPr>
        <w:tab/>
        <w:t>Legislative Requirements</w:t>
      </w:r>
    </w:p>
    <w:p w14:paraId="219BFB38" w14:textId="77777777" w:rsidR="00B60314" w:rsidRDefault="00B60314" w:rsidP="00B60314">
      <w:pPr>
        <w:pStyle w:val="BodyText125"/>
        <w:rPr>
          <w:noProof/>
        </w:rPr>
      </w:pPr>
      <w:r>
        <w:rPr>
          <w:noProof/>
        </w:rPr>
        <w:t xml:space="preserve">The </w:t>
      </w:r>
      <w:r w:rsidRPr="00806780">
        <w:rPr>
          <w:i/>
          <w:iCs/>
          <w:noProof/>
        </w:rPr>
        <w:t>Development Charges Act, 1997</w:t>
      </w:r>
      <w:r>
        <w:rPr>
          <w:noProof/>
        </w:rPr>
        <w:t>, as amended (D.C.A.) requires development charge (D.C.) collections (and associated interest) to be placed in separate reserve funds.  Sections 33 through 36 of the D.C.A. provide the following regarding reserve fund establishment and use:</w:t>
      </w:r>
    </w:p>
    <w:p w14:paraId="780165E9" w14:textId="77777777" w:rsidR="00B60314" w:rsidRDefault="00B60314" w:rsidP="00B60314">
      <w:pPr>
        <w:pStyle w:val="BodyTextbullets125"/>
        <w:rPr>
          <w:noProof/>
        </w:rPr>
      </w:pPr>
      <w:r>
        <w:rPr>
          <w:noProof/>
        </w:rPr>
        <w:t>A municipality shall establish a reserve fund for each service to which the D.C. by-law relates; subsection 7 (1), however, allows services to be grouped into categories of services for reserve fund (and credit) purposes and for classes of services to be established.</w:t>
      </w:r>
    </w:p>
    <w:p w14:paraId="68AFA24A" w14:textId="77777777" w:rsidR="00B60314" w:rsidRDefault="00B60314" w:rsidP="00B60314">
      <w:pPr>
        <w:pStyle w:val="BodyTextbullets125"/>
        <w:rPr>
          <w:noProof/>
        </w:rPr>
      </w:pPr>
      <w:r>
        <w:rPr>
          <w:noProof/>
        </w:rPr>
        <w:t>The municipality shall pay each D.C. it collects into a reserve fund or funds to which the charge relates.</w:t>
      </w:r>
    </w:p>
    <w:p w14:paraId="34F1DA75" w14:textId="703F8298" w:rsidR="00B60314" w:rsidRDefault="00B60314" w:rsidP="00B60314">
      <w:pPr>
        <w:pStyle w:val="BodyTextbullets125"/>
        <w:rPr>
          <w:noProof/>
        </w:rPr>
      </w:pPr>
      <w:r>
        <w:rPr>
          <w:noProof/>
        </w:rPr>
        <w:t>The money in a reserve fund shall be spent only for the “capital costs” determined through the legislated calculation process (as per subsection 5 (1) 2</w:t>
      </w:r>
      <w:r>
        <w:rPr>
          <w:noProof/>
        </w:rPr>
        <w:noBreakHyphen/>
        <w:t>7).</w:t>
      </w:r>
    </w:p>
    <w:p w14:paraId="3D5691B9" w14:textId="77777777" w:rsidR="00B60314" w:rsidRDefault="00B60314" w:rsidP="00B60314">
      <w:pPr>
        <w:pStyle w:val="BodyTextbullets125"/>
        <w:rPr>
          <w:noProof/>
        </w:rPr>
      </w:pPr>
      <w:r>
        <w:rPr>
          <w:noProof/>
        </w:rPr>
        <w:t>Money may be borrowed from the fund but must be paid back with interest (O. Reg. 82/98, subsection 11 (1) defines this as Bank of Canada rate either on the day the by-law(s) come into force or, if specified in the by-law, the first business day of each quarter).</w:t>
      </w:r>
    </w:p>
    <w:p w14:paraId="3D212A2B" w14:textId="77777777" w:rsidR="00B60314" w:rsidRDefault="00B60314" w:rsidP="00B60314">
      <w:pPr>
        <w:pStyle w:val="BodyTextbullets125"/>
        <w:rPr>
          <w:noProof/>
        </w:rPr>
      </w:pPr>
      <w:r>
        <w:rPr>
          <w:noProof/>
        </w:rPr>
        <w:t>D.C. reserve funds may not be consolidated with other municipal reserve funds for investment purposes and may only be used as an interim financing source for capital undertakings for which D.C.s may be spent (section 37).</w:t>
      </w:r>
    </w:p>
    <w:p w14:paraId="3C5B83CB" w14:textId="77777777" w:rsidR="00B60314" w:rsidRDefault="00B60314" w:rsidP="00B60314">
      <w:pPr>
        <w:pStyle w:val="BodyText125"/>
        <w:rPr>
          <w:noProof/>
        </w:rPr>
      </w:pPr>
      <w:r w:rsidRPr="008B355A">
        <w:rPr>
          <w:noProof/>
        </w:rPr>
        <w:t>Annually, the Treasurer of the municipality is required to provide Council with a financial statement related to the D.C. by-law(s) and reserve funds.  This statement must be made available to the public and may be requested to be forwarded to the Minister of Municipal Affairs and Housing</w:t>
      </w:r>
      <w:r>
        <w:rPr>
          <w:noProof/>
        </w:rPr>
        <w:t>.</w:t>
      </w:r>
    </w:p>
    <w:p w14:paraId="1DDBEA39" w14:textId="77777777" w:rsidR="00B60314" w:rsidRDefault="00B60314" w:rsidP="00B60314">
      <w:pPr>
        <w:pStyle w:val="BodyText125"/>
        <w:rPr>
          <w:noProof/>
        </w:rPr>
      </w:pPr>
      <w:r>
        <w:rPr>
          <w:noProof/>
        </w:rPr>
        <w:t>Subsection 43 (2) and O. Reg. 82/98 prescribe the information that must be included in the Treasurer’s statement, as follows:</w:t>
      </w:r>
    </w:p>
    <w:p w14:paraId="18B560A1" w14:textId="77777777" w:rsidR="00B60314" w:rsidRDefault="00B60314" w:rsidP="00B60314">
      <w:pPr>
        <w:pStyle w:val="BodyTextbullets125"/>
        <w:rPr>
          <w:noProof/>
        </w:rPr>
      </w:pPr>
      <w:r>
        <w:rPr>
          <w:noProof/>
        </w:rPr>
        <w:t>Opening balance;</w:t>
      </w:r>
    </w:p>
    <w:p w14:paraId="0148C4C1" w14:textId="77777777" w:rsidR="00B60314" w:rsidRDefault="00B60314" w:rsidP="00B60314">
      <w:pPr>
        <w:pStyle w:val="BodyTextbullets125"/>
        <w:rPr>
          <w:noProof/>
        </w:rPr>
      </w:pPr>
      <w:r>
        <w:rPr>
          <w:noProof/>
        </w:rPr>
        <w:t>Closing balance;</w:t>
      </w:r>
    </w:p>
    <w:p w14:paraId="5FB0BF6F" w14:textId="77777777" w:rsidR="00B60314" w:rsidRDefault="00B60314" w:rsidP="00B60314">
      <w:pPr>
        <w:pStyle w:val="BodyTextbullets125"/>
        <w:rPr>
          <w:noProof/>
        </w:rPr>
      </w:pPr>
      <w:r>
        <w:rPr>
          <w:noProof/>
        </w:rPr>
        <w:t>Description of each service and/or service category for which the reserve fund was established (including a list of services within a service category);</w:t>
      </w:r>
    </w:p>
    <w:p w14:paraId="1AACDC52" w14:textId="77777777" w:rsidR="00B60314" w:rsidRDefault="00B60314" w:rsidP="00B60314">
      <w:pPr>
        <w:pStyle w:val="BodyTextbullets125"/>
        <w:rPr>
          <w:noProof/>
        </w:rPr>
      </w:pPr>
      <w:r>
        <w:rPr>
          <w:noProof/>
        </w:rPr>
        <w:t>Transactions for the year (e.g., collections, draws) including each asset’s capital costs to be funded from the D.C. reserve fund and the manner for funding the capital costs not funded under the D.C. by-laws (i.e., non-D.C. recoverable cost share and post-period D.C. recoverable cost share);</w:t>
      </w:r>
    </w:p>
    <w:p w14:paraId="748CF04E" w14:textId="77777777" w:rsidR="00B60314" w:rsidRDefault="00B60314" w:rsidP="00B60314">
      <w:pPr>
        <w:pStyle w:val="BodyTextbullets125"/>
        <w:rPr>
          <w:noProof/>
        </w:rPr>
      </w:pPr>
      <w:r>
        <w:rPr>
          <w:noProof/>
        </w:rPr>
        <w:t>For projects financed by D.C.s, the amount spent on the project from the D.C. reserve fund and the amount and source of any other monies spent on the project;</w:t>
      </w:r>
    </w:p>
    <w:p w14:paraId="5DEBDB38" w14:textId="77777777" w:rsidR="00B60314" w:rsidRDefault="00B60314" w:rsidP="00B60314">
      <w:pPr>
        <w:pStyle w:val="BodyTextbullets125"/>
        <w:rPr>
          <w:noProof/>
        </w:rPr>
      </w:pPr>
      <w:r>
        <w:rPr>
          <w:noProof/>
        </w:rPr>
        <w:t>Amounts borrowed, purpose of the borrowing, and interest accrued during the previous year;</w:t>
      </w:r>
    </w:p>
    <w:p w14:paraId="3C45C8FD" w14:textId="77777777" w:rsidR="00B60314" w:rsidRDefault="00B60314" w:rsidP="00B60314">
      <w:pPr>
        <w:pStyle w:val="BodyTextbullets125"/>
        <w:rPr>
          <w:noProof/>
        </w:rPr>
      </w:pPr>
      <w:r>
        <w:rPr>
          <w:noProof/>
        </w:rPr>
        <w:t>Amount and source of money used by the municipality to repay municipal obligations to the D.C. reserve fund;</w:t>
      </w:r>
    </w:p>
    <w:p w14:paraId="5C3C5CFD" w14:textId="77777777" w:rsidR="00B60314" w:rsidRDefault="00B60314" w:rsidP="00B60314">
      <w:pPr>
        <w:pStyle w:val="BodyTextbullets125"/>
        <w:rPr>
          <w:noProof/>
        </w:rPr>
      </w:pPr>
      <w:r>
        <w:rPr>
          <w:noProof/>
        </w:rPr>
        <w:t>A list of credits by service or service category (outstanding at the beginning of the year, given in the year, and outstanding at the end of the year by the holder);</w:t>
      </w:r>
    </w:p>
    <w:p w14:paraId="12C82FE7" w14:textId="77777777" w:rsidR="00B60314" w:rsidRDefault="00B60314" w:rsidP="00B60314">
      <w:pPr>
        <w:pStyle w:val="BodyTextbullets125"/>
        <w:rPr>
          <w:noProof/>
        </w:rPr>
      </w:pPr>
      <w:r>
        <w:rPr>
          <w:noProof/>
        </w:rPr>
        <w:t>For credits granted under section 14 of the previous D.C.A., a schedule identifying the value of credits recognized by the municipality, the service to which it applies and the source of funding used to finance the credit; and</w:t>
      </w:r>
    </w:p>
    <w:p w14:paraId="24E26A2A" w14:textId="77777777" w:rsidR="00B60314" w:rsidRDefault="00B60314" w:rsidP="00B60314">
      <w:pPr>
        <w:pStyle w:val="BodyTextbullets125"/>
        <w:rPr>
          <w:noProof/>
        </w:rPr>
      </w:pPr>
      <w:r>
        <w:rPr>
          <w:noProof/>
        </w:rPr>
        <w:t>A statement as to compliance with subsection 59 (1) of the D.C.A., whereby the municipality shall not impose, directly or indirectly, a charge related to a development or a requirement to construct a service related to a development, except as permitted by the D.C.A. or another Act.</w:t>
      </w:r>
    </w:p>
    <w:p w14:paraId="1D0F9E68" w14:textId="77777777" w:rsidR="00B60314" w:rsidRDefault="00B60314" w:rsidP="00B60314">
      <w:pPr>
        <w:pStyle w:val="BodyText125"/>
        <w:rPr>
          <w:noProof/>
        </w:rPr>
      </w:pPr>
      <w:r w:rsidRPr="008B355A">
        <w:rPr>
          <w:noProof/>
        </w:rPr>
        <w:t>Recent changes arising from Bill 109 (</w:t>
      </w:r>
      <w:r w:rsidRPr="00607686">
        <w:rPr>
          <w:i/>
          <w:iCs/>
          <w:noProof/>
        </w:rPr>
        <w:t>More Homes for Everyone Act, 2022</w:t>
      </w:r>
      <w:r w:rsidRPr="008B355A">
        <w:rPr>
          <w:noProof/>
        </w:rPr>
        <w:t>) provide that the Council shall make the statement available to the public by posting the statement on the website or, if there is no such website, in the municipal office.</w:t>
      </w:r>
      <w:r>
        <w:rPr>
          <w:noProof/>
        </w:rPr>
        <w:t xml:space="preserve"> </w:t>
      </w:r>
      <w:r w:rsidRPr="008B355A">
        <w:rPr>
          <w:noProof/>
        </w:rPr>
        <w:t xml:space="preserve"> In addition, Bill 109 introduced the following requirements which shall be included in the </w:t>
      </w:r>
      <w:r>
        <w:rPr>
          <w:noProof/>
        </w:rPr>
        <w:t>T</w:t>
      </w:r>
      <w:r w:rsidRPr="008B355A">
        <w:rPr>
          <w:noProof/>
        </w:rPr>
        <w:t>reasurer’s statement</w:t>
      </w:r>
      <w:r>
        <w:rPr>
          <w:noProof/>
        </w:rPr>
        <w:t>:</w:t>
      </w:r>
    </w:p>
    <w:p w14:paraId="7B3CCAC1" w14:textId="77777777" w:rsidR="00B60314" w:rsidRDefault="00B60314" w:rsidP="00B60314">
      <w:pPr>
        <w:pStyle w:val="BodyTextbullets125"/>
        <w:rPr>
          <w:noProof/>
        </w:rPr>
      </w:pPr>
      <w:r>
        <w:rPr>
          <w:noProof/>
        </w:rPr>
        <w:t>For each service for which a D.C. is collected during the year:</w:t>
      </w:r>
    </w:p>
    <w:p w14:paraId="663B392F" w14:textId="77777777" w:rsidR="00B60314" w:rsidRDefault="00B60314" w:rsidP="00F43901">
      <w:pPr>
        <w:pStyle w:val="BodyTextbullets125"/>
        <w:numPr>
          <w:ilvl w:val="1"/>
          <w:numId w:val="30"/>
        </w:numPr>
        <w:rPr>
          <w:noProof/>
        </w:rPr>
      </w:pPr>
      <w:r>
        <w:rPr>
          <w:noProof/>
        </w:rPr>
        <w:t>whether, as of the end of the year, the municipality expects to incur the amount of capital costs that were estimated, in the relevant D.C. background study, to be incurred during the term of the applicable D.C. by-laws, and</w:t>
      </w:r>
    </w:p>
    <w:p w14:paraId="090DAFA5" w14:textId="77777777" w:rsidR="00B60314" w:rsidRDefault="00B60314" w:rsidP="00F43901">
      <w:pPr>
        <w:pStyle w:val="BodyTextbullets125"/>
        <w:numPr>
          <w:ilvl w:val="1"/>
          <w:numId w:val="30"/>
        </w:numPr>
        <w:rPr>
          <w:noProof/>
        </w:rPr>
      </w:pPr>
      <w:r>
        <w:rPr>
          <w:noProof/>
        </w:rPr>
        <w:t>if the answer to subparagraph i is no, the amount the municipality now expects to incur and a statement as to why this amount is expected;</w:t>
      </w:r>
    </w:p>
    <w:p w14:paraId="6D18122C" w14:textId="77777777" w:rsidR="00B60314" w:rsidRDefault="00B60314" w:rsidP="00B60314">
      <w:pPr>
        <w:pStyle w:val="BodyTextbullets125"/>
        <w:rPr>
          <w:noProof/>
        </w:rPr>
      </w:pPr>
      <w:r>
        <w:rPr>
          <w:noProof/>
        </w:rPr>
        <w:t>For any service for which a D.C. was collected during the year but in respect of which no money from a reserve fund was spent during the year, a statement as to why there was no spending during the year.</w:t>
      </w:r>
    </w:p>
    <w:p w14:paraId="4F7E1BE4" w14:textId="77777777" w:rsidR="00B60314" w:rsidRDefault="00B60314" w:rsidP="00B60314">
      <w:pPr>
        <w:pStyle w:val="BodyText125"/>
        <w:rPr>
          <w:noProof/>
        </w:rPr>
      </w:pPr>
      <w:r w:rsidRPr="008B355A">
        <w:rPr>
          <w:noProof/>
        </w:rPr>
        <w:t>Additionally, as per subsection 35</w:t>
      </w:r>
      <w:r>
        <w:rPr>
          <w:noProof/>
        </w:rPr>
        <w:t xml:space="preserve"> </w:t>
      </w:r>
      <w:r w:rsidRPr="008B355A">
        <w:rPr>
          <w:noProof/>
        </w:rPr>
        <w:t>(3) of the D.C.A.:</w:t>
      </w:r>
    </w:p>
    <w:p w14:paraId="3400E80C" w14:textId="77777777" w:rsidR="00B60314" w:rsidRPr="00607686" w:rsidRDefault="00B60314" w:rsidP="00B60314">
      <w:pPr>
        <w:pStyle w:val="Quote"/>
      </w:pPr>
      <w:r w:rsidRPr="00607686">
        <w:t>35 (3) If a service is prescribed for the purposes of this subsection, beginning in the first calendar year that commences after the service is prescribed and in each calendar year thereafter, a municipality shall spend or allocate at least 60 per cent of the monies that are in a reserve fund for the prescribed service at the beginning of the year.</w:t>
      </w:r>
    </w:p>
    <w:p w14:paraId="21D2F59E" w14:textId="77777777" w:rsidR="00B60314" w:rsidRDefault="00B60314" w:rsidP="00B60314">
      <w:pPr>
        <w:pStyle w:val="BodyText125"/>
        <w:rPr>
          <w:noProof/>
        </w:rPr>
      </w:pPr>
      <w:r w:rsidRPr="008B355A">
        <w:rPr>
          <w:noProof/>
        </w:rPr>
        <w:t>The services currently prescribed are water</w:t>
      </w:r>
      <w:r>
        <w:rPr>
          <w:noProof/>
        </w:rPr>
        <w:t xml:space="preserve"> and </w:t>
      </w:r>
      <w:r w:rsidRPr="008B355A">
        <w:rPr>
          <w:noProof/>
        </w:rPr>
        <w:t>wastewater, and services related to a highway.  Therefore, as of 2023, a municipality shall spend or allocate at least 60 percent of the monies in the reserve fund at the beginning of the year.  There are generally two ways in which a municipality may approach this requirement</w:t>
      </w:r>
      <w:r>
        <w:rPr>
          <w:noProof/>
        </w:rPr>
        <w:t>.</w:t>
      </w:r>
    </w:p>
    <w:p w14:paraId="35257F66" w14:textId="77777777" w:rsidR="00B60314" w:rsidRDefault="00B60314" w:rsidP="00F43901">
      <w:pPr>
        <w:pStyle w:val="BodyText125"/>
        <w:numPr>
          <w:ilvl w:val="0"/>
          <w:numId w:val="29"/>
        </w:numPr>
        <w:rPr>
          <w:noProof/>
        </w:rPr>
      </w:pPr>
      <w:r>
        <w:rPr>
          <w:noProof/>
        </w:rPr>
        <w:t>Include a schedule as part of the annual Treasurer’s statement; or</w:t>
      </w:r>
    </w:p>
    <w:p w14:paraId="7A952D17" w14:textId="77777777" w:rsidR="00B60314" w:rsidRDefault="00B60314" w:rsidP="00F43901">
      <w:pPr>
        <w:pStyle w:val="BodyText125"/>
        <w:numPr>
          <w:ilvl w:val="0"/>
          <w:numId w:val="29"/>
        </w:numPr>
        <w:rPr>
          <w:noProof/>
        </w:rPr>
      </w:pPr>
      <w:r>
        <w:rPr>
          <w:noProof/>
        </w:rPr>
        <w:t>Incorporate the information into the annual budgeting process.</w:t>
      </w:r>
    </w:p>
    <w:p w14:paraId="47EFBEAC" w14:textId="77777777" w:rsidR="00B60314" w:rsidRDefault="00B60314" w:rsidP="00B60314">
      <w:pPr>
        <w:pStyle w:val="BodyText125"/>
        <w:rPr>
          <w:noProof/>
        </w:rPr>
      </w:pPr>
      <w:r w:rsidRPr="008B355A">
        <w:rPr>
          <w:noProof/>
        </w:rPr>
        <w:t xml:space="preserve">Based upon the above, Figure </w:t>
      </w:r>
      <w:r>
        <w:rPr>
          <w:noProof/>
        </w:rPr>
        <w:t>D-</w:t>
      </w:r>
      <w:r w:rsidRPr="008B355A">
        <w:rPr>
          <w:noProof/>
        </w:rPr>
        <w:t xml:space="preserve">1 and Attachments 1 and 2, set out the format for which annual reporting to Council should be provided. </w:t>
      </w:r>
      <w:r>
        <w:rPr>
          <w:noProof/>
        </w:rPr>
        <w:t xml:space="preserve"> Figure D-4</w:t>
      </w:r>
      <w:r w:rsidRPr="008B355A">
        <w:rPr>
          <w:noProof/>
        </w:rPr>
        <w:t xml:space="preserve"> provides the schedule for allocating reserve fund balances to projects</w:t>
      </w:r>
      <w:r>
        <w:rPr>
          <w:noProof/>
        </w:rPr>
        <w:t>.</w:t>
      </w:r>
    </w:p>
    <w:p w14:paraId="537294F0" w14:textId="77777777" w:rsidR="00B60314" w:rsidRPr="00B169EA" w:rsidRDefault="00B60314" w:rsidP="00B60314">
      <w:pPr>
        <w:pStyle w:val="BoldHeading"/>
        <w:rPr>
          <w:noProof/>
        </w:rPr>
      </w:pPr>
      <w:r w:rsidRPr="00B169EA">
        <w:rPr>
          <w:noProof/>
        </w:rPr>
        <w:t>D.2</w:t>
      </w:r>
      <w:r w:rsidRPr="00B169EA">
        <w:rPr>
          <w:noProof/>
        </w:rPr>
        <w:tab/>
        <w:t>D.C. Reserve Fund Application</w:t>
      </w:r>
    </w:p>
    <w:p w14:paraId="6DC8ADD3" w14:textId="77777777" w:rsidR="00B60314" w:rsidRDefault="00B60314" w:rsidP="00B60314">
      <w:pPr>
        <w:pStyle w:val="BodyText125"/>
        <w:rPr>
          <w:noProof/>
        </w:rPr>
      </w:pPr>
      <w:r>
        <w:rPr>
          <w:noProof/>
        </w:rPr>
        <w:t>Section 35 of the D.C.A. states that:</w:t>
      </w:r>
    </w:p>
    <w:p w14:paraId="46C17468" w14:textId="77777777" w:rsidR="00B60314" w:rsidRDefault="00B60314" w:rsidP="00B60314">
      <w:pPr>
        <w:pStyle w:val="Quote"/>
        <w:rPr>
          <w:noProof/>
        </w:rPr>
      </w:pPr>
      <w:r>
        <w:rPr>
          <w:noProof/>
        </w:rPr>
        <w:t>“The money in a reserve fund established for a service may be spent only for capital costs determined under paragraphs 2 to 7 of subsection 5 (1).”</w:t>
      </w:r>
    </w:p>
    <w:p w14:paraId="37CD0816" w14:textId="467B00A4" w:rsidR="00B169EA" w:rsidRDefault="00B60314" w:rsidP="00BD47E5">
      <w:pPr>
        <w:pStyle w:val="BodyText125"/>
        <w:rPr>
          <w:noProof/>
        </w:rPr>
        <w:sectPr w:rsidR="00B169EA" w:rsidSect="00CE12B2">
          <w:footnotePr>
            <w:numRestart w:val="eachPage"/>
          </w:footnotePr>
          <w:pgSz w:w="12240" w:h="15840" w:code="1"/>
          <w:pgMar w:top="1440" w:right="1440" w:bottom="1440" w:left="1440" w:header="432" w:footer="619" w:gutter="0"/>
          <w:cols w:space="708"/>
          <w:titlePg/>
          <w:docGrid w:linePitch="360"/>
        </w:sectPr>
      </w:pPr>
      <w:r>
        <w:rPr>
          <w:noProof/>
        </w:rPr>
        <w:t>This provision clearly establishes that reserve funds collected for a specific service are only to be used for that service, or to be used as a source of interim financing of capital undertakings for which a D.C. may be spent.</w:t>
      </w:r>
    </w:p>
    <w:p w14:paraId="36EBD813" w14:textId="77777777" w:rsidR="00B60314" w:rsidRDefault="00B60314" w:rsidP="00B60314">
      <w:pPr>
        <w:pStyle w:val="FigureTableTitles"/>
        <w:rPr>
          <w:noProof/>
        </w:rPr>
      </w:pPr>
      <w:r>
        <w:rPr>
          <w:noProof/>
        </w:rPr>
        <w:t xml:space="preserve">Figure D-1 </w:t>
      </w:r>
    </w:p>
    <w:p w14:paraId="10CD2832" w14:textId="5FA677FA" w:rsidR="00B60314" w:rsidRDefault="00B60314" w:rsidP="00B60314">
      <w:pPr>
        <w:pStyle w:val="FigureTableTitles"/>
        <w:rPr>
          <w:noProof/>
        </w:rPr>
      </w:pPr>
      <w:r>
        <w:rPr>
          <w:noProof/>
        </w:rPr>
        <w:t>City of Cambridge</w:t>
      </w:r>
    </w:p>
    <w:p w14:paraId="3FC142B3" w14:textId="77777777" w:rsidR="009C53B5" w:rsidRDefault="00B60314" w:rsidP="00B60314">
      <w:pPr>
        <w:pStyle w:val="FigureTableTitles"/>
        <w:rPr>
          <w:noProof/>
        </w:rPr>
      </w:pPr>
      <w:r>
        <w:rPr>
          <w:noProof/>
        </w:rPr>
        <w:t>Annual Treasurer’s Statement of Development Charge Reserve Funds</w:t>
      </w:r>
    </w:p>
    <w:p w14:paraId="4FBBF46E" w14:textId="45C53006" w:rsidR="00B60314" w:rsidRDefault="00B60314" w:rsidP="00B60314">
      <w:pPr>
        <w:pStyle w:val="BodyText125"/>
        <w:rPr>
          <w:noProof/>
        </w:rPr>
      </w:pPr>
      <w:r w:rsidRPr="00B60314">
        <w:rPr>
          <w:noProof/>
        </w:rPr>
        <w:drawing>
          <wp:inline distT="0" distB="0" distL="0" distR="0" wp14:anchorId="5560D3A2" wp14:editId="424421F8">
            <wp:extent cx="7826375" cy="3569335"/>
            <wp:effectExtent l="0" t="0" r="0" b="0"/>
            <wp:docPr id="1126883344" name="Picture 1" descr="This table is an example of the annual treasurer's statement of development charge reserve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83344" name="Picture 1" descr="This table is an example of the annual treasurer's statement of development charge reserve funds."/>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826375" cy="3569335"/>
                    </a:xfrm>
                    <a:prstGeom prst="rect">
                      <a:avLst/>
                    </a:prstGeom>
                    <a:noFill/>
                    <a:ln>
                      <a:noFill/>
                    </a:ln>
                  </pic:spPr>
                </pic:pic>
              </a:graphicData>
            </a:graphic>
          </wp:inline>
        </w:drawing>
      </w:r>
      <w:r>
        <w:rPr>
          <w:noProof/>
        </w:rPr>
        <w:br w:type="page"/>
      </w:r>
    </w:p>
    <w:p w14:paraId="7A4A3E8B" w14:textId="77777777" w:rsidR="00B60314" w:rsidRDefault="00B60314" w:rsidP="00B60314">
      <w:pPr>
        <w:pStyle w:val="FigureTableTitles"/>
        <w:rPr>
          <w:noProof/>
        </w:rPr>
      </w:pPr>
      <w:r>
        <w:rPr>
          <w:noProof/>
        </w:rPr>
        <w:t>Figure D-2a</w:t>
      </w:r>
    </w:p>
    <w:p w14:paraId="0D4E6079" w14:textId="41BD62D5" w:rsidR="00B60314" w:rsidRDefault="00B60314" w:rsidP="00B60314">
      <w:pPr>
        <w:pStyle w:val="FigureTableTitles"/>
        <w:rPr>
          <w:noProof/>
        </w:rPr>
      </w:pPr>
      <w:r>
        <w:rPr>
          <w:noProof/>
        </w:rPr>
        <w:t>City of Cambridge</w:t>
      </w:r>
    </w:p>
    <w:p w14:paraId="12D7ACBF" w14:textId="77777777" w:rsidR="00B60314" w:rsidRDefault="00B60314" w:rsidP="00B60314">
      <w:pPr>
        <w:pStyle w:val="FigureTableTitles"/>
        <w:rPr>
          <w:noProof/>
        </w:rPr>
      </w:pPr>
      <w:r>
        <w:rPr>
          <w:noProof/>
        </w:rPr>
        <w:t>Attachment 1</w:t>
      </w:r>
    </w:p>
    <w:p w14:paraId="770AC3FF" w14:textId="77777777" w:rsidR="00B60314" w:rsidRDefault="00B60314" w:rsidP="00B60314">
      <w:pPr>
        <w:pStyle w:val="FigureTableTitles"/>
        <w:rPr>
          <w:noProof/>
        </w:rPr>
      </w:pPr>
      <w:r>
        <w:rPr>
          <w:noProof/>
        </w:rPr>
        <w:t>Annual Treasurer’s Statement of Development Charge Reserve Funds</w:t>
      </w:r>
    </w:p>
    <w:p w14:paraId="33B09F2F" w14:textId="730DF8B5" w:rsidR="00B60314" w:rsidRDefault="00B60314" w:rsidP="00B60314">
      <w:pPr>
        <w:pStyle w:val="FigureTableTitles"/>
        <w:rPr>
          <w:noProof/>
        </w:rPr>
      </w:pPr>
      <w:r>
        <w:rPr>
          <w:noProof/>
        </w:rPr>
        <w:t>Amount Transferred to Capital (or Other) Funds – Capital Fund Transactions</w:t>
      </w:r>
    </w:p>
    <w:p w14:paraId="154BA391" w14:textId="3E7D7512" w:rsidR="00B60314" w:rsidRDefault="00B60314" w:rsidP="00B60314">
      <w:pPr>
        <w:pStyle w:val="BodyText125"/>
        <w:rPr>
          <w:noProof/>
        </w:rPr>
      </w:pPr>
      <w:r w:rsidRPr="00B60314">
        <w:rPr>
          <w:noProof/>
        </w:rPr>
        <w:drawing>
          <wp:inline distT="0" distB="0" distL="0" distR="0" wp14:anchorId="3BE26138" wp14:editId="7A2DC80B">
            <wp:extent cx="7826375" cy="2671445"/>
            <wp:effectExtent l="0" t="0" r="0" b="0"/>
            <wp:docPr id="712502645" name="Picture 2" descr="This table is an example of the annual treasurer's statement of development charge reserve funds – amount transferred to capital or other funds (capital fund trans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02645" name="Picture 2" descr="This table is an example of the annual treasurer's statement of development charge reserve funds – amount transferred to capital or other funds (capital fund transaction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826375" cy="2671445"/>
                    </a:xfrm>
                    <a:prstGeom prst="rect">
                      <a:avLst/>
                    </a:prstGeom>
                    <a:noFill/>
                    <a:ln>
                      <a:noFill/>
                    </a:ln>
                  </pic:spPr>
                </pic:pic>
              </a:graphicData>
            </a:graphic>
          </wp:inline>
        </w:drawing>
      </w:r>
    </w:p>
    <w:p w14:paraId="38D0369D" w14:textId="18C71341" w:rsidR="00B60314" w:rsidRDefault="00B60314" w:rsidP="00B60314">
      <w:pPr>
        <w:pStyle w:val="BodyText125"/>
        <w:rPr>
          <w:noProof/>
        </w:rPr>
      </w:pPr>
      <w:r>
        <w:rPr>
          <w:noProof/>
        </w:rPr>
        <w:br w:type="page"/>
      </w:r>
    </w:p>
    <w:p w14:paraId="3A2D1DA6" w14:textId="77777777" w:rsidR="00B60314" w:rsidRDefault="00B60314" w:rsidP="00B60314">
      <w:pPr>
        <w:pStyle w:val="FigureTableTitles"/>
        <w:rPr>
          <w:noProof/>
        </w:rPr>
      </w:pPr>
      <w:r>
        <w:rPr>
          <w:noProof/>
        </w:rPr>
        <w:t>Figure D-2b</w:t>
      </w:r>
    </w:p>
    <w:p w14:paraId="6FD738A7" w14:textId="66A8B87C" w:rsidR="00B60314" w:rsidRDefault="00B60314" w:rsidP="00B60314">
      <w:pPr>
        <w:pStyle w:val="FigureTableTitles"/>
        <w:rPr>
          <w:noProof/>
        </w:rPr>
      </w:pPr>
      <w:r>
        <w:rPr>
          <w:noProof/>
        </w:rPr>
        <w:t>City of Cambridge</w:t>
      </w:r>
    </w:p>
    <w:p w14:paraId="2EA54638" w14:textId="77777777" w:rsidR="00B60314" w:rsidRDefault="00B60314" w:rsidP="00B60314">
      <w:pPr>
        <w:pStyle w:val="FigureTableTitles"/>
        <w:rPr>
          <w:noProof/>
        </w:rPr>
      </w:pPr>
      <w:r>
        <w:rPr>
          <w:noProof/>
        </w:rPr>
        <w:t>Attachment 1</w:t>
      </w:r>
    </w:p>
    <w:p w14:paraId="1583AD62" w14:textId="77777777" w:rsidR="00B60314" w:rsidRDefault="00B60314" w:rsidP="00B60314">
      <w:pPr>
        <w:pStyle w:val="FigureTableTitles"/>
        <w:rPr>
          <w:noProof/>
        </w:rPr>
      </w:pPr>
      <w:r>
        <w:rPr>
          <w:noProof/>
        </w:rPr>
        <w:t>Annual Treasurer’s Statement of Development Charge Reserve Funds</w:t>
      </w:r>
    </w:p>
    <w:p w14:paraId="53BCF103" w14:textId="77777777" w:rsidR="00B60314" w:rsidRDefault="00B60314" w:rsidP="00B60314">
      <w:pPr>
        <w:pStyle w:val="FigureTableTitles"/>
        <w:rPr>
          <w:noProof/>
        </w:rPr>
      </w:pPr>
      <w:r>
        <w:rPr>
          <w:noProof/>
        </w:rPr>
        <w:t>Amount Transferred to Capital (or Other) Funds – Operating Fund Transactions</w:t>
      </w:r>
    </w:p>
    <w:p w14:paraId="283A61FB" w14:textId="709CAA16" w:rsidR="00B60314" w:rsidRDefault="00B60314" w:rsidP="00B60314">
      <w:pPr>
        <w:pStyle w:val="BodyText125"/>
        <w:rPr>
          <w:noProof/>
        </w:rPr>
      </w:pPr>
      <w:r w:rsidRPr="00B60314">
        <w:rPr>
          <w:noProof/>
        </w:rPr>
        <w:drawing>
          <wp:inline distT="0" distB="0" distL="0" distR="0" wp14:anchorId="24111203" wp14:editId="34C9947D">
            <wp:extent cx="7826375" cy="2658110"/>
            <wp:effectExtent l="0" t="0" r="0" b="0"/>
            <wp:docPr id="130264640" name="Picture 3" descr="This table is an example of the annual treasurer's statement of development charge reserve funds – amount transferred to capital or other funds (operating fund trans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4640" name="Picture 3" descr="This table is an example of the annual treasurer's statement of development charge reserve funds – amount transferred to capital or other funds (operating fund transactions)."/>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7826375" cy="2658110"/>
                    </a:xfrm>
                    <a:prstGeom prst="rect">
                      <a:avLst/>
                    </a:prstGeom>
                    <a:noFill/>
                    <a:ln>
                      <a:noFill/>
                    </a:ln>
                  </pic:spPr>
                </pic:pic>
              </a:graphicData>
            </a:graphic>
          </wp:inline>
        </w:drawing>
      </w:r>
      <w:r>
        <w:rPr>
          <w:noProof/>
        </w:rPr>
        <w:br w:type="page"/>
      </w:r>
    </w:p>
    <w:p w14:paraId="6B8DA75B" w14:textId="77777777" w:rsidR="00B60314" w:rsidRDefault="00B60314" w:rsidP="00B60314">
      <w:pPr>
        <w:pStyle w:val="FigureTableTitles"/>
        <w:rPr>
          <w:noProof/>
        </w:rPr>
      </w:pPr>
      <w:r>
        <w:rPr>
          <w:noProof/>
        </w:rPr>
        <w:t>Figure D-3</w:t>
      </w:r>
    </w:p>
    <w:p w14:paraId="345A5083" w14:textId="5013A230" w:rsidR="00B60314" w:rsidRDefault="00B60314" w:rsidP="00B60314">
      <w:pPr>
        <w:pStyle w:val="FigureTableTitles"/>
        <w:rPr>
          <w:noProof/>
        </w:rPr>
      </w:pPr>
      <w:r>
        <w:rPr>
          <w:noProof/>
        </w:rPr>
        <w:t>City of Cambridge</w:t>
      </w:r>
    </w:p>
    <w:p w14:paraId="07CF6E36" w14:textId="77777777" w:rsidR="00B60314" w:rsidRDefault="00B60314" w:rsidP="00B60314">
      <w:pPr>
        <w:pStyle w:val="FigureTableTitles"/>
        <w:rPr>
          <w:noProof/>
        </w:rPr>
      </w:pPr>
      <w:r>
        <w:rPr>
          <w:noProof/>
        </w:rPr>
        <w:t>Attachment 2</w:t>
      </w:r>
    </w:p>
    <w:p w14:paraId="3BC3BF12" w14:textId="77777777" w:rsidR="00B60314" w:rsidRDefault="00B60314" w:rsidP="00B60314">
      <w:pPr>
        <w:pStyle w:val="FigureTableTitles"/>
        <w:rPr>
          <w:noProof/>
        </w:rPr>
      </w:pPr>
      <w:r>
        <w:rPr>
          <w:noProof/>
        </w:rPr>
        <w:t>Annual Treasurer’s Statement of Development Charge Reserve Funds</w:t>
      </w:r>
    </w:p>
    <w:p w14:paraId="746E4E90" w14:textId="77777777" w:rsidR="00B60314" w:rsidRDefault="00B60314" w:rsidP="00B60314">
      <w:pPr>
        <w:pStyle w:val="FigureTableTitles"/>
        <w:rPr>
          <w:noProof/>
        </w:rPr>
      </w:pPr>
      <w:r>
        <w:rPr>
          <w:noProof/>
        </w:rPr>
        <w:t>Statement of Credit Holder Transactions</w:t>
      </w:r>
    </w:p>
    <w:p w14:paraId="0CE33C53" w14:textId="77777777" w:rsidR="00B60314" w:rsidRDefault="00B60314" w:rsidP="00B60314">
      <w:pPr>
        <w:pStyle w:val="BodyText125"/>
        <w:jc w:val="center"/>
        <w:rPr>
          <w:noProof/>
        </w:rPr>
        <w:sectPr w:rsidR="00B60314" w:rsidSect="00B60314">
          <w:footnotePr>
            <w:numRestart w:val="eachPage"/>
          </w:footnotePr>
          <w:pgSz w:w="15840" w:h="12240" w:orient="landscape"/>
          <w:pgMar w:top="1440" w:right="1814" w:bottom="1440" w:left="1701" w:header="567" w:footer="624" w:gutter="0"/>
          <w:cols w:space="708"/>
          <w:titlePg/>
          <w:docGrid w:linePitch="360"/>
        </w:sectPr>
      </w:pPr>
      <w:r w:rsidRPr="00B60314">
        <w:rPr>
          <w:noProof/>
        </w:rPr>
        <w:drawing>
          <wp:inline distT="0" distB="0" distL="0" distR="0" wp14:anchorId="59AE834C" wp14:editId="31FDCC6B">
            <wp:extent cx="6991985" cy="1911985"/>
            <wp:effectExtent l="0" t="0" r="0" b="0"/>
            <wp:docPr id="84811733" name="Picture 4" descr="This table is an example of the annual treasurer's statement of development charge reserve funds – statement of credit holder trans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1733" name="Picture 4" descr="This table is an example of the annual treasurer's statement of development charge reserve funds – statement of credit holder transactions."/>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991985" cy="1911985"/>
                    </a:xfrm>
                    <a:prstGeom prst="rect">
                      <a:avLst/>
                    </a:prstGeom>
                    <a:noFill/>
                    <a:ln>
                      <a:noFill/>
                    </a:ln>
                  </pic:spPr>
                </pic:pic>
              </a:graphicData>
            </a:graphic>
          </wp:inline>
        </w:drawing>
      </w:r>
    </w:p>
    <w:p w14:paraId="048DE18C" w14:textId="77777777" w:rsidR="00B60314" w:rsidRDefault="00B60314" w:rsidP="00B60314">
      <w:pPr>
        <w:pStyle w:val="FigureTableTitles"/>
        <w:rPr>
          <w:noProof/>
        </w:rPr>
      </w:pPr>
      <w:r>
        <w:rPr>
          <w:noProof/>
        </w:rPr>
        <w:t>Figure D-4</w:t>
      </w:r>
    </w:p>
    <w:p w14:paraId="52125D79" w14:textId="22CB7A43" w:rsidR="00B60314" w:rsidRDefault="00B60314" w:rsidP="00B60314">
      <w:pPr>
        <w:pStyle w:val="FigureTableTitles"/>
        <w:rPr>
          <w:noProof/>
        </w:rPr>
      </w:pPr>
      <w:r>
        <w:rPr>
          <w:noProof/>
        </w:rPr>
        <w:t>City of Cambridge</w:t>
      </w:r>
    </w:p>
    <w:p w14:paraId="2598CBD7" w14:textId="77777777" w:rsidR="00B60314" w:rsidRDefault="00B60314" w:rsidP="00B60314">
      <w:pPr>
        <w:pStyle w:val="FigureTableTitles"/>
        <w:rPr>
          <w:noProof/>
        </w:rPr>
      </w:pPr>
      <w:r>
        <w:rPr>
          <w:noProof/>
        </w:rPr>
        <w:t>Annual Treasurer’s Statement of Development Charge Reserve Funds</w:t>
      </w:r>
    </w:p>
    <w:p w14:paraId="7C267FC7" w14:textId="77777777" w:rsidR="00B60314" w:rsidRDefault="00B60314" w:rsidP="00B60314">
      <w:pPr>
        <w:pStyle w:val="FigureTableTitles"/>
        <w:rPr>
          <w:noProof/>
        </w:rPr>
      </w:pPr>
      <w:r>
        <w:rPr>
          <w:noProof/>
        </w:rPr>
        <w:t>Statement of Reserve Fund Balance Allocations</w:t>
      </w:r>
    </w:p>
    <w:p w14:paraId="45360A13" w14:textId="3197797D" w:rsidR="00B60314" w:rsidRDefault="00B60314" w:rsidP="00B60314">
      <w:pPr>
        <w:pStyle w:val="BodyText125"/>
        <w:rPr>
          <w:noProof/>
        </w:rPr>
        <w:sectPr w:rsidR="00B60314" w:rsidSect="00B60314">
          <w:footnotePr>
            <w:numRestart w:val="eachPage"/>
          </w:footnotePr>
          <w:pgSz w:w="12240" w:h="15840"/>
          <w:pgMar w:top="1814" w:right="1440" w:bottom="1701" w:left="1440" w:header="567" w:footer="624" w:gutter="0"/>
          <w:cols w:space="708"/>
          <w:titlePg/>
          <w:docGrid w:linePitch="360"/>
        </w:sectPr>
      </w:pPr>
      <w:r w:rsidRPr="00192411">
        <w:rPr>
          <w:noProof/>
        </w:rPr>
        <w:drawing>
          <wp:inline distT="0" distB="0" distL="0" distR="0" wp14:anchorId="1B1C73A0" wp14:editId="5E443CED">
            <wp:extent cx="5943600" cy="4739640"/>
            <wp:effectExtent l="0" t="0" r="0" b="0"/>
            <wp:docPr id="62926171" name="Picture 151" descr="sample statement of reserve fund balance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6171" name="Picture 151" descr="sample statement of reserve fund balance allocation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4739640"/>
                    </a:xfrm>
                    <a:prstGeom prst="rect">
                      <a:avLst/>
                    </a:prstGeom>
                    <a:noFill/>
                    <a:ln>
                      <a:noFill/>
                    </a:ln>
                  </pic:spPr>
                </pic:pic>
              </a:graphicData>
            </a:graphic>
          </wp:inline>
        </w:drawing>
      </w:r>
    </w:p>
    <w:p w14:paraId="789D01E4" w14:textId="77777777" w:rsidR="003425B6" w:rsidRPr="003930AA" w:rsidRDefault="003425B6" w:rsidP="003930AA">
      <w:pPr>
        <w:pStyle w:val="APPdivider"/>
      </w:pPr>
      <w:bookmarkStart w:id="515" w:name="_Toc154068826"/>
      <w:r w:rsidRPr="003930AA">
        <w:t>Appendix E</w:t>
      </w:r>
      <w:r w:rsidR="00A342C2">
        <w:tab/>
      </w:r>
      <w:r w:rsidR="00620725">
        <w:br/>
      </w:r>
      <w:r w:rsidRPr="00DC5440">
        <w:rPr>
          <w:rStyle w:val="APPDividerTitleChar"/>
          <w:color w:val="000000"/>
        </w:rPr>
        <w:t>Local Service Policy</w:t>
      </w:r>
      <w:bookmarkEnd w:id="515"/>
    </w:p>
    <w:p w14:paraId="3A5E712E" w14:textId="77777777" w:rsidR="003425B6" w:rsidRDefault="003425B6" w:rsidP="00B169EA">
      <w:pPr>
        <w:pStyle w:val="APP1stpage"/>
        <w:rPr>
          <w:noProof/>
        </w:rPr>
        <w:sectPr w:rsidR="003425B6" w:rsidSect="009E2107">
          <w:footerReference w:type="default" r:id="rId147"/>
          <w:footerReference w:type="first" r:id="rId148"/>
          <w:footnotePr>
            <w:numRestart w:val="eachPage"/>
          </w:footnotePr>
          <w:pgSz w:w="12240" w:h="15840" w:code="1"/>
          <w:pgMar w:top="1440" w:right="1440" w:bottom="1440" w:left="1440" w:header="432" w:footer="619" w:gutter="0"/>
          <w:pgNumType w:start="1"/>
          <w:cols w:space="708"/>
          <w:titlePg/>
          <w:docGrid w:linePitch="360"/>
        </w:sectPr>
      </w:pPr>
    </w:p>
    <w:p w14:paraId="5428B42C" w14:textId="77777777" w:rsidR="00104209" w:rsidRDefault="00B169EA" w:rsidP="00B169EA">
      <w:pPr>
        <w:pStyle w:val="APP1stpage"/>
        <w:rPr>
          <w:noProof/>
        </w:rPr>
      </w:pPr>
      <w:r>
        <w:rPr>
          <w:noProof/>
        </w:rPr>
        <w:t>Appendix E</w:t>
      </w:r>
      <w:r w:rsidR="003930AA">
        <w:rPr>
          <w:noProof/>
        </w:rPr>
        <w:t xml:space="preserve">:  </w:t>
      </w:r>
      <w:r>
        <w:rPr>
          <w:noProof/>
        </w:rPr>
        <w:t>Local Service Policy</w:t>
      </w:r>
    </w:p>
    <w:p w14:paraId="3894DA3F" w14:textId="77252E63" w:rsidR="00B169EA" w:rsidRDefault="00776284" w:rsidP="00B169EA">
      <w:pPr>
        <w:pStyle w:val="BodyText125"/>
        <w:rPr>
          <w:b/>
          <w:sz w:val="28"/>
        </w:rPr>
      </w:pPr>
      <w:r>
        <w:rPr>
          <w:b/>
          <w:sz w:val="28"/>
        </w:rPr>
        <w:t>Policy Statement</w:t>
      </w:r>
    </w:p>
    <w:p w14:paraId="667A269C" w14:textId="42014895" w:rsidR="00776284" w:rsidRPr="00776284" w:rsidRDefault="00776284" w:rsidP="00776284">
      <w:pPr>
        <w:pStyle w:val="BodyText125"/>
      </w:pPr>
      <w:r w:rsidRPr="00776284">
        <w:t>This document sets the City’s policy on Development Charges and funding for local services related to highways, stormwater management, parkland development, pumping stations and underground services (including water, sanitary and storm services).</w:t>
      </w:r>
    </w:p>
    <w:p w14:paraId="418569B2" w14:textId="7DB64E08" w:rsidR="00B169EA" w:rsidRPr="00B169EA" w:rsidRDefault="00776284" w:rsidP="00B169EA">
      <w:pPr>
        <w:pStyle w:val="BodyText125"/>
        <w:rPr>
          <w:b/>
        </w:rPr>
      </w:pPr>
      <w:r>
        <w:rPr>
          <w:b/>
          <w:sz w:val="28"/>
        </w:rPr>
        <w:t>Purpose</w:t>
      </w:r>
    </w:p>
    <w:p w14:paraId="60C7D033" w14:textId="38807AF5" w:rsidR="00776284" w:rsidRDefault="00776284" w:rsidP="00B169EA">
      <w:pPr>
        <w:pStyle w:val="BodyText125"/>
      </w:pPr>
      <w:r w:rsidRPr="00776284">
        <w:t>This document sets the City’s policy on Development Charges and funding for local services related to highways, stormwater management, parkland development, pumping stations and underground services (including water, sanitary and storm services).</w:t>
      </w:r>
    </w:p>
    <w:p w14:paraId="7FBC0657" w14:textId="53EF79DA" w:rsidR="00776284" w:rsidRDefault="00776284" w:rsidP="00776284">
      <w:pPr>
        <w:pStyle w:val="BodyText125"/>
        <w:rPr>
          <w:b/>
          <w:sz w:val="28"/>
        </w:rPr>
      </w:pPr>
      <w:r>
        <w:rPr>
          <w:b/>
          <w:sz w:val="28"/>
        </w:rPr>
        <w:t>Acronyms</w:t>
      </w:r>
    </w:p>
    <w:p w14:paraId="73996004" w14:textId="77777777" w:rsidR="00776284" w:rsidRDefault="00776284" w:rsidP="00776284">
      <w:pPr>
        <w:pStyle w:val="BodyText125"/>
      </w:pPr>
      <w:r>
        <w:t>D.C.</w:t>
      </w:r>
      <w:r>
        <w:tab/>
      </w:r>
      <w:r>
        <w:tab/>
        <w:t>Development Charges</w:t>
      </w:r>
    </w:p>
    <w:p w14:paraId="5E056918" w14:textId="77777777" w:rsidR="00776284" w:rsidRDefault="00776284" w:rsidP="00776284">
      <w:pPr>
        <w:pStyle w:val="BodyText125"/>
      </w:pPr>
      <w:r>
        <w:t>D.C.A.</w:t>
      </w:r>
      <w:r>
        <w:tab/>
      </w:r>
      <w:r>
        <w:tab/>
        <w:t>Development Charges Act, 1997, as amended</w:t>
      </w:r>
    </w:p>
    <w:p w14:paraId="109DB070" w14:textId="77777777" w:rsidR="00776284" w:rsidRDefault="00776284" w:rsidP="00776284">
      <w:pPr>
        <w:pStyle w:val="BodyText125"/>
      </w:pPr>
      <w:r>
        <w:t>M.N.R.F.</w:t>
      </w:r>
      <w:r>
        <w:tab/>
        <w:t>Ministry of Natural Resources and Forestry</w:t>
      </w:r>
    </w:p>
    <w:p w14:paraId="0C866FB0" w14:textId="7DD10205" w:rsidR="00776284" w:rsidRDefault="00776284" w:rsidP="00776284">
      <w:pPr>
        <w:pStyle w:val="BodyText125"/>
      </w:pPr>
      <w:r>
        <w:t>M.</w:t>
      </w:r>
      <w:r w:rsidR="006F667B" w:rsidDel="006F667B">
        <w:t xml:space="preserve"> </w:t>
      </w:r>
      <w:r>
        <w:t>E.C.P.</w:t>
      </w:r>
      <w:r>
        <w:tab/>
        <w:t>Ministry of the Environment, Conservation and Parks</w:t>
      </w:r>
    </w:p>
    <w:p w14:paraId="1C7772DB" w14:textId="77777777" w:rsidR="00776284" w:rsidRDefault="00776284" w:rsidP="00776284">
      <w:pPr>
        <w:pStyle w:val="BodyText125"/>
      </w:pPr>
      <w:r>
        <w:t>R.O.W.</w:t>
      </w:r>
      <w:r>
        <w:tab/>
      </w:r>
      <w:r>
        <w:tab/>
        <w:t>Right of Way</w:t>
      </w:r>
    </w:p>
    <w:p w14:paraId="2D7DECB7" w14:textId="77777777" w:rsidR="00776284" w:rsidRDefault="00776284" w:rsidP="00776284">
      <w:pPr>
        <w:pStyle w:val="BodyText125"/>
      </w:pPr>
      <w:r>
        <w:t>T.M.P.</w:t>
      </w:r>
      <w:r>
        <w:tab/>
      </w:r>
      <w:r>
        <w:tab/>
        <w:t>Transportation Master Plan</w:t>
      </w:r>
    </w:p>
    <w:p w14:paraId="376594CB" w14:textId="52EEE1F3" w:rsidR="00776284" w:rsidRPr="00776284" w:rsidRDefault="00776284" w:rsidP="00776284">
      <w:pPr>
        <w:pStyle w:val="BodyText125"/>
      </w:pPr>
      <w:r>
        <w:t>O.P.S.</w:t>
      </w:r>
      <w:r>
        <w:tab/>
      </w:r>
      <w:r>
        <w:tab/>
        <w:t>Ontario Provincial Standards</w:t>
      </w:r>
    </w:p>
    <w:p w14:paraId="5F76FF9B" w14:textId="3354C3A4" w:rsidR="00776284" w:rsidRDefault="00776284" w:rsidP="00776284">
      <w:pPr>
        <w:pStyle w:val="BodyText125"/>
        <w:rPr>
          <w:b/>
          <w:sz w:val="28"/>
        </w:rPr>
      </w:pPr>
      <w:r>
        <w:rPr>
          <w:b/>
          <w:sz w:val="28"/>
        </w:rPr>
        <w:t>Definitions</w:t>
      </w:r>
    </w:p>
    <w:p w14:paraId="4FF871E5" w14:textId="77777777" w:rsidR="00776284" w:rsidRPr="00776284" w:rsidRDefault="00776284" w:rsidP="00776284">
      <w:pPr>
        <w:pStyle w:val="BodyText125"/>
      </w:pPr>
      <w:r w:rsidRPr="00776284">
        <w:t>“Complete street” is the concept whereby a highway is planned, designed, operated and maintained to enable pedestrians, cyclists, public transit users and motorists to move safely and efficiently.</w:t>
      </w:r>
    </w:p>
    <w:p w14:paraId="093641DA" w14:textId="77777777" w:rsidR="00776284" w:rsidRPr="00776284" w:rsidRDefault="00776284" w:rsidP="00776284">
      <w:pPr>
        <w:pStyle w:val="BodyText125"/>
      </w:pPr>
      <w:r w:rsidRPr="00776284">
        <w:t>“Road” includes a common of public highway and any facilities within a municipally owned road allowance including but not limited to road pavement structure and curbs; grade separation/bridge structures (for any vehicles, railways and/or pedestrians); grading, drainage and retaining wall features; culvert structures; stormwater drainage systems; utilities (gas, telephone, hydro, cable, etc.); traffic control systems; signage; gateway features; street furniture; active transportation facilities (e.g. sidewalks, bike lanes, multi-use trails which interconnect the transportation network, etc.); transit lanes and lay-bys; road way illumination systems; boulevard and median surfaces (e.g. sod and topsoil, paving, etc.); street trees and landscaping; wildlife crossings; parking lanes and lay-bys; driveway entrances; noise attenuation systems; railings and safety barriers.</w:t>
      </w:r>
    </w:p>
    <w:p w14:paraId="0188EBA4" w14:textId="77777777" w:rsidR="00776284" w:rsidRPr="00776284" w:rsidRDefault="00776284" w:rsidP="00776284">
      <w:pPr>
        <w:pStyle w:val="BodyText125"/>
      </w:pPr>
      <w:r w:rsidRPr="00776284">
        <w:t>“Arterial Road,” “Rural Road” and “Local Road” have a corresponding meaning with reference to the road hierarchy defined in the Official Plan.</w:t>
      </w:r>
    </w:p>
    <w:p w14:paraId="7CC4A2D4" w14:textId="77777777" w:rsidR="00776284" w:rsidRPr="00776284" w:rsidRDefault="00776284" w:rsidP="00776284">
      <w:pPr>
        <w:pStyle w:val="BodyText125"/>
      </w:pPr>
      <w:r w:rsidRPr="00776284">
        <w:t>“Major Collector Road” as defined in the Transportation Master Plan, will balance the provision of mobility with land access by collecting and distributing people and goods between neighbourhoods and communities from Local Streets and Minor Collector Roadways with connections to Arterials. Direct access to property may be permitted.</w:t>
      </w:r>
    </w:p>
    <w:p w14:paraId="1EA79E53" w14:textId="77777777" w:rsidR="00776284" w:rsidRPr="00776284" w:rsidRDefault="00776284" w:rsidP="00776284">
      <w:pPr>
        <w:pStyle w:val="BodyText125"/>
      </w:pPr>
      <w:r w:rsidRPr="00776284">
        <w:t>“Minor Collector Road” as defined in the Transportation Master Plan, will connect Local Streets within individual neighbourhoods to Major Collector roadways, and are intended to move people and goods primarily within neighbourhoods. They usually do not connect directly with Arterials.</w:t>
      </w:r>
    </w:p>
    <w:p w14:paraId="1F71862F" w14:textId="77777777" w:rsidR="00776284" w:rsidRPr="00776284" w:rsidRDefault="00776284" w:rsidP="00776284">
      <w:pPr>
        <w:pStyle w:val="BodyText125"/>
      </w:pPr>
      <w:r w:rsidRPr="00776284">
        <w:t>“Basic Parkland Development” means the work required to ensure lands are suitable for development for park and other public recreational purposes, to the satisfaction of the City in accordance with applicable Engineering Standards and Design Manual, as may be amended from time to time, and includes but is not limited to the following:</w:t>
      </w:r>
    </w:p>
    <w:p w14:paraId="61357D1B" w14:textId="21782DEC" w:rsidR="00776284" w:rsidRPr="00776284" w:rsidRDefault="00776284" w:rsidP="00776284">
      <w:pPr>
        <w:pStyle w:val="BodyTextbullets125"/>
      </w:pPr>
      <w:r w:rsidRPr="00776284">
        <w:t>Servicing – water, hydro, stormwater, sanitary, electrical, fibre/phone, meter and meter boxes connected to a point just inside the property line;</w:t>
      </w:r>
    </w:p>
    <w:p w14:paraId="5C0D7250" w14:textId="35EF79E3" w:rsidR="00776284" w:rsidRPr="00776284" w:rsidRDefault="00776284" w:rsidP="00776284">
      <w:pPr>
        <w:pStyle w:val="BodyTextbullets125"/>
      </w:pPr>
      <w:r w:rsidRPr="00776284">
        <w:t>Catch basins, culverts, manholes and other drainage structures;</w:t>
      </w:r>
    </w:p>
    <w:p w14:paraId="0CD563CC" w14:textId="77777777" w:rsidR="00776284" w:rsidRDefault="00776284" w:rsidP="00D931C2">
      <w:pPr>
        <w:pStyle w:val="BodyTextbullets125"/>
      </w:pPr>
      <w:r w:rsidRPr="00776284">
        <w:t>Clearing and grubbing, including stump removal;</w:t>
      </w:r>
    </w:p>
    <w:p w14:paraId="2A1591C9" w14:textId="77777777" w:rsidR="00776284" w:rsidRDefault="00776284" w:rsidP="00D931C2">
      <w:pPr>
        <w:pStyle w:val="BodyTextbullets125"/>
      </w:pPr>
      <w:r w:rsidRPr="00776284">
        <w:t>Only where impediments that would inhibit the suitability of parkland exist, any other associated infrastructure (minor bridges and abutments, guard and hand rails, retaining walls, etc.) as required to bring the land to a suitable level for development as a parkland;</w:t>
      </w:r>
    </w:p>
    <w:p w14:paraId="2A0FD86A" w14:textId="77777777" w:rsidR="00776284" w:rsidRDefault="00776284" w:rsidP="00D931C2">
      <w:pPr>
        <w:pStyle w:val="BodyTextbullets125"/>
      </w:pPr>
      <w:r w:rsidRPr="00776284">
        <w:t>Topsoil stripping, rough grading, supply and placement of topsoil and engineered fill to required depths;</w:t>
      </w:r>
    </w:p>
    <w:p w14:paraId="2D68B2C3" w14:textId="77777777" w:rsidR="00776284" w:rsidRDefault="00776284" w:rsidP="00D931C2">
      <w:pPr>
        <w:pStyle w:val="BodyTextbullets125"/>
      </w:pPr>
      <w:r w:rsidRPr="00776284">
        <w:t>Fine grading;</w:t>
      </w:r>
    </w:p>
    <w:p w14:paraId="19A27FFE" w14:textId="77777777" w:rsidR="00776284" w:rsidRDefault="00776284" w:rsidP="00D931C2">
      <w:pPr>
        <w:pStyle w:val="BodyTextbullets125"/>
      </w:pPr>
      <w:r w:rsidRPr="00776284">
        <w:t>Sodding;</w:t>
      </w:r>
    </w:p>
    <w:p w14:paraId="114B15C0" w14:textId="77777777" w:rsidR="00776284" w:rsidRDefault="00776284" w:rsidP="00D931C2">
      <w:pPr>
        <w:pStyle w:val="BodyTextbullets125"/>
      </w:pPr>
      <w:r w:rsidRPr="00776284">
        <w:t>Only where parkland is divided between more than one separate development application or is part of more than one phased application within the same development parcel, temporary perimeter fencing where there is no permanent fence;</w:t>
      </w:r>
    </w:p>
    <w:p w14:paraId="4B6C7CC3" w14:textId="77777777" w:rsidR="00776284" w:rsidRDefault="00776284" w:rsidP="00D931C2">
      <w:pPr>
        <w:pStyle w:val="BodyTextbullets125"/>
      </w:pPr>
      <w:r w:rsidRPr="00776284">
        <w:t>Temporary park sign(s) advising future residents that the site is a future park; and</w:t>
      </w:r>
    </w:p>
    <w:p w14:paraId="4B369297" w14:textId="039377ED" w:rsidR="00776284" w:rsidRPr="00776284" w:rsidRDefault="00776284" w:rsidP="00D931C2">
      <w:pPr>
        <w:pStyle w:val="BodyTextbullets125"/>
      </w:pPr>
      <w:r w:rsidRPr="00776284">
        <w:t>Permanent perimeter fencing to City Standards to all adjacent lands uses (residential and non-residential) as required by the city or other approval authority.</w:t>
      </w:r>
    </w:p>
    <w:p w14:paraId="07A27E1B" w14:textId="77777777" w:rsidR="00776284" w:rsidRPr="00776284" w:rsidRDefault="00776284" w:rsidP="00776284">
      <w:pPr>
        <w:pStyle w:val="BodyText125"/>
      </w:pPr>
      <w:r w:rsidRPr="00776284">
        <w:t xml:space="preserve">“Multi-use Trail”, as referenced in the Cycling Master Plan, is an all ages and abilities facility, consisting of a hard surface that is a minimum width of 3.0 metres, located as a separate facility within a municipal right-of-way, or other off-street locations (i.e. parkland, stormwater block, utility corridor or railway corridor). </w:t>
      </w:r>
    </w:p>
    <w:p w14:paraId="7FCC7DB7" w14:textId="77777777" w:rsidR="00776284" w:rsidRPr="00776284" w:rsidRDefault="00776284" w:rsidP="00776284">
      <w:pPr>
        <w:pStyle w:val="BodyText125"/>
      </w:pPr>
      <w:r w:rsidRPr="00776284">
        <w:t>“Separated Bicycle Lanes”, as referenced in the Cycling Master Plan, are physically separated from motor vehicle travel lanes but are located on-street within the roadway surface, or within the boulevard elevated to sidewalk level. These can run two-way on one side of the road, or one-way on both sides of the road.</w:t>
      </w:r>
    </w:p>
    <w:p w14:paraId="62FFC040" w14:textId="77777777" w:rsidR="00776284" w:rsidRPr="00776284" w:rsidRDefault="00776284" w:rsidP="00776284">
      <w:pPr>
        <w:pStyle w:val="BodyText125"/>
      </w:pPr>
      <w:r w:rsidRPr="00776284">
        <w:t>“Supporting Cycling Facilities” includes, but is not limited to, local street bikeways, painted bicycle lanes, paved shoulders or shared streets.</w:t>
      </w:r>
    </w:p>
    <w:p w14:paraId="087F5150" w14:textId="77777777" w:rsidR="00776284" w:rsidRPr="00776284" w:rsidRDefault="00776284" w:rsidP="00776284">
      <w:pPr>
        <w:pStyle w:val="BodyText125"/>
      </w:pPr>
      <w:r w:rsidRPr="00776284">
        <w:t xml:space="preserve">“Stormwater Management” includes any lot level, conveyance or end-of-pipe treatment facility that is designed and constructed to provide water quality or quantity control of runoff or to satisfy water balance requirements.  Facilities may include, but are not limited to, infiltration galleries, bioswales, underground storage, oil/grit separators and stormwater management ponds. </w:t>
      </w:r>
    </w:p>
    <w:p w14:paraId="175F196C" w14:textId="77777777" w:rsidR="00776284" w:rsidRPr="00776284" w:rsidRDefault="00776284" w:rsidP="00776284">
      <w:pPr>
        <w:pStyle w:val="BodyText125"/>
      </w:pPr>
      <w:r w:rsidRPr="00776284">
        <w:t xml:space="preserve">“Traffic Improvements” includes, but is not limited to, intersection upgrades, additional turning lanes, railway crossing upgrades, new and/or upgraded roundabouts, area traffic studies, traffic calming and other traffic control devices such as, but not limited to, pedestrian crossovers, crossrides, bicycle traffic lights and pedestrian refuge islands. </w:t>
      </w:r>
    </w:p>
    <w:p w14:paraId="365EEFEB" w14:textId="77777777" w:rsidR="00776284" w:rsidRPr="00776284" w:rsidRDefault="00776284" w:rsidP="00776284">
      <w:pPr>
        <w:pStyle w:val="BodyText125"/>
      </w:pPr>
      <w:r w:rsidRPr="00776284">
        <w:t>“Underground Services” are the pipes and appurtenances associated with storm, water and wastewater municipal servicing.  Underground services within a municipal road allowance are not included in the cost of road infrastructure and are treated separately.</w:t>
      </w:r>
    </w:p>
    <w:p w14:paraId="6395B7FB" w14:textId="7326E03C" w:rsidR="00776284" w:rsidRPr="00776284" w:rsidRDefault="00776284" w:rsidP="00776284">
      <w:pPr>
        <w:pStyle w:val="BodyText125"/>
      </w:pPr>
      <w:r w:rsidRPr="00776284">
        <w:t>“Natural Heritage System”, as referenced in the Official Plan, are natural features and associated ecological functions that have been identified at the federal, provincial, regional and local levels.  They are categorized in policy as Landscape Level Systems, Core Environmental Features, Locally Significant Natural Areas, Fish Habitat, the natural features linkages between then and lands that may be suitable for restoration.</w:t>
      </w:r>
    </w:p>
    <w:p w14:paraId="1C81EC0D" w14:textId="729ABDF4" w:rsidR="00776284" w:rsidRDefault="00776284" w:rsidP="00776284">
      <w:pPr>
        <w:pStyle w:val="BodyText125"/>
        <w:rPr>
          <w:b/>
          <w:sz w:val="28"/>
        </w:rPr>
      </w:pPr>
      <w:r>
        <w:rPr>
          <w:b/>
          <w:sz w:val="28"/>
        </w:rPr>
        <w:t>Authority</w:t>
      </w:r>
    </w:p>
    <w:p w14:paraId="13DDC1E9" w14:textId="21D09CE1" w:rsidR="00776284" w:rsidRDefault="000D5835" w:rsidP="00776284">
      <w:pPr>
        <w:pStyle w:val="BodyText125"/>
      </w:pPr>
      <w:r w:rsidRPr="000D5835">
        <w:t>This policy is developed in connection with Sections 59 and 59.1 of the D.C.A., and Sections 51 and 53 of the Planning Act.</w:t>
      </w:r>
    </w:p>
    <w:p w14:paraId="42117888" w14:textId="63929B5C" w:rsidR="000D5835" w:rsidRDefault="000D5835" w:rsidP="000D5835">
      <w:pPr>
        <w:pStyle w:val="BodyText125"/>
        <w:rPr>
          <w:b/>
          <w:sz w:val="28"/>
        </w:rPr>
      </w:pPr>
      <w:r>
        <w:rPr>
          <w:b/>
          <w:sz w:val="28"/>
        </w:rPr>
        <w:t>Scope</w:t>
      </w:r>
    </w:p>
    <w:p w14:paraId="777B0644" w14:textId="4D0DA383" w:rsidR="000D5835" w:rsidRDefault="000D5835" w:rsidP="000D5835">
      <w:pPr>
        <w:pStyle w:val="BodyText125"/>
      </w:pPr>
      <w:r w:rsidRPr="000D5835">
        <w:t>This policy includes principles by which City of Cambridge staff will be guided by in considering development applications. However, each application will be considered, in the context of these policy guidelines as subsection 59 (2) of the Development Charges Act, 1997, on its own merits having regard to, among other factors, the nature, type and location of the development and any existing and proposed development in the surrounding area, as well as the location and type of services required and their relationship to the proposed development and to existing and proposed development in the area.</w:t>
      </w:r>
    </w:p>
    <w:p w14:paraId="41A12452" w14:textId="3D6CBA4D" w:rsidR="000D5835" w:rsidRDefault="000D5835" w:rsidP="000D5835">
      <w:pPr>
        <w:pStyle w:val="BodyText125"/>
        <w:rPr>
          <w:b/>
          <w:sz w:val="28"/>
        </w:rPr>
      </w:pPr>
      <w:r>
        <w:rPr>
          <w:b/>
          <w:sz w:val="28"/>
        </w:rPr>
        <w:t>Policy</w:t>
      </w:r>
    </w:p>
    <w:p w14:paraId="25E6145B" w14:textId="77777777" w:rsidR="00591924" w:rsidRPr="00591924" w:rsidRDefault="00591924" w:rsidP="00591924">
      <w:pPr>
        <w:pStyle w:val="BodyText125"/>
        <w:rPr>
          <w:bCs/>
          <w:lang w:val="en-US"/>
        </w:rPr>
      </w:pPr>
      <w:r w:rsidRPr="00591924">
        <w:rPr>
          <w:bCs/>
          <w:lang w:val="en-US"/>
        </w:rPr>
        <w:t>All infrastructure described below to be constructed by developers must be designed and constructed in accordance with the City of Cambridge Engineering Standards and Development Manual, and any other applicable specifications and standards, including but not limited to Grand River Conservation Authority, Region of Waterloo, O.P.S., M.E.C.P. and M.N.R.F.</w:t>
      </w:r>
    </w:p>
    <w:p w14:paraId="06A7BD4E" w14:textId="77777777" w:rsidR="00591924" w:rsidRPr="00591924" w:rsidRDefault="00591924" w:rsidP="00F43901">
      <w:pPr>
        <w:pStyle w:val="BodyText125"/>
        <w:numPr>
          <w:ilvl w:val="0"/>
          <w:numId w:val="28"/>
        </w:numPr>
        <w:rPr>
          <w:bCs/>
          <w:lang w:val="en-US"/>
        </w:rPr>
      </w:pPr>
      <w:r w:rsidRPr="00591924">
        <w:rPr>
          <w:bCs/>
          <w:lang w:val="en-US"/>
        </w:rPr>
        <w:t>Services related to a Highway</w:t>
      </w:r>
    </w:p>
    <w:p w14:paraId="6C160F6F" w14:textId="77777777" w:rsidR="00591924" w:rsidRPr="00591924" w:rsidRDefault="00591924" w:rsidP="00591924">
      <w:pPr>
        <w:pStyle w:val="BodyText125"/>
        <w:rPr>
          <w:bCs/>
          <w:lang w:val="en-US"/>
        </w:rPr>
      </w:pPr>
      <w:r w:rsidRPr="00591924">
        <w:rPr>
          <w:bCs/>
          <w:lang w:val="en-US"/>
        </w:rPr>
        <w:t>A highway and services related to a highway are intended for the transportation of people and goods via many different modes including, but not limited to passenger automobiles, commercial vehicles, transit vehicles, bicycles, micro mobility vehicles and pedestrians. The highway shall consist of all land and associated infrastructure built to support (or service) this movement of people and goods regardless of the mode of transportation employed, thereby achieving a complete street.</w:t>
      </w:r>
    </w:p>
    <w:p w14:paraId="255AF4B6" w14:textId="77777777" w:rsidR="00591924" w:rsidRPr="00591924" w:rsidRDefault="00591924" w:rsidP="00F43901">
      <w:pPr>
        <w:pStyle w:val="BodyText125"/>
        <w:numPr>
          <w:ilvl w:val="1"/>
          <w:numId w:val="28"/>
        </w:numPr>
        <w:ind w:left="567" w:hanging="501"/>
        <w:rPr>
          <w:bCs/>
          <w:lang w:val="en-US"/>
        </w:rPr>
      </w:pPr>
      <w:r w:rsidRPr="00591924">
        <w:rPr>
          <w:bCs/>
          <w:lang w:val="en-US"/>
        </w:rPr>
        <w:t>Local, Minor Collector and Rural Roads</w:t>
      </w:r>
    </w:p>
    <w:p w14:paraId="2D6AA670"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6F7FD2A1" w14:textId="77777777" w:rsidR="00591924" w:rsidRPr="00591924" w:rsidRDefault="00591924" w:rsidP="00591924">
      <w:pPr>
        <w:pStyle w:val="BodyTextbullets125"/>
        <w:rPr>
          <w:lang w:val="en-US"/>
        </w:rPr>
      </w:pPr>
      <w:r w:rsidRPr="00591924">
        <w:rPr>
          <w:lang w:val="en-US"/>
        </w:rPr>
        <w:t>Local, Minor Collector and Rural Roads internal to the development, inclusive of all land and associated infrastructure; and</w:t>
      </w:r>
    </w:p>
    <w:p w14:paraId="15C05052" w14:textId="77777777" w:rsidR="00591924" w:rsidRPr="00591924" w:rsidRDefault="00591924" w:rsidP="00591924">
      <w:pPr>
        <w:pStyle w:val="BodyTextbullets125"/>
        <w:rPr>
          <w:lang w:val="en-US"/>
        </w:rPr>
      </w:pPr>
      <w:r w:rsidRPr="00591924">
        <w:rPr>
          <w:lang w:val="en-US"/>
        </w:rPr>
        <w:t>Minor Collector and Rural Roads external to development, inclusive of all land and associated infrastructure, required to support the development or required to link with the area to which the plan relates.</w:t>
      </w:r>
    </w:p>
    <w:p w14:paraId="0DD60793" w14:textId="77777777" w:rsidR="00591924" w:rsidRPr="00591924" w:rsidRDefault="00591924" w:rsidP="00591924">
      <w:pPr>
        <w:pStyle w:val="BodyTextbullets125"/>
        <w:rPr>
          <w:lang w:val="en-US"/>
        </w:rPr>
      </w:pPr>
      <w:r w:rsidRPr="00591924">
        <w:rPr>
          <w:lang w:val="en-US"/>
        </w:rPr>
        <w:t>The costs of the following shall be payable through development charges:</w:t>
      </w:r>
    </w:p>
    <w:p w14:paraId="66ED4534" w14:textId="77777777" w:rsidR="00591924" w:rsidRPr="00591924" w:rsidRDefault="00591924" w:rsidP="00591924">
      <w:pPr>
        <w:pStyle w:val="BodyTextbullets125"/>
        <w:rPr>
          <w:lang w:val="en-US"/>
        </w:rPr>
      </w:pPr>
      <w:r w:rsidRPr="00591924">
        <w:rPr>
          <w:lang w:val="en-US"/>
        </w:rPr>
        <w:t>Minor Collector Roads external to a development that are not required for direct access (included in D.C. to extent permitted).</w:t>
      </w:r>
    </w:p>
    <w:p w14:paraId="3784BB93" w14:textId="77777777" w:rsidR="00591924" w:rsidRPr="00591924" w:rsidRDefault="00591924" w:rsidP="00F43901">
      <w:pPr>
        <w:pStyle w:val="BodyText125"/>
        <w:numPr>
          <w:ilvl w:val="1"/>
          <w:numId w:val="28"/>
        </w:numPr>
        <w:ind w:left="567" w:hanging="501"/>
        <w:rPr>
          <w:bCs/>
          <w:lang w:val="en-US"/>
        </w:rPr>
      </w:pPr>
      <w:r w:rsidRPr="00591924">
        <w:rPr>
          <w:bCs/>
          <w:lang w:val="en-US"/>
        </w:rPr>
        <w:t>Major Collector and Arterial Roads</w:t>
      </w:r>
    </w:p>
    <w:p w14:paraId="7A1CCE84"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3E2B8F2C" w14:textId="77777777" w:rsidR="00591924" w:rsidRPr="00591924" w:rsidRDefault="00591924" w:rsidP="00591924">
      <w:pPr>
        <w:pStyle w:val="BodyTextbullets125"/>
        <w:rPr>
          <w:lang w:val="en-US"/>
        </w:rPr>
      </w:pPr>
      <w:r w:rsidRPr="00591924">
        <w:rPr>
          <w:lang w:val="en-US"/>
        </w:rPr>
        <w:t>The equivalent cost of local, minor collector or rural roads where new, widened, extended or upgraded major collector and arterial roads have been identified within a development, if the major collector and arterial roads have been identified through a Master Environmental Servicing Plan or Transportation Master Plan;</w:t>
      </w:r>
    </w:p>
    <w:p w14:paraId="28205025" w14:textId="77777777" w:rsidR="00591924" w:rsidRPr="00591924" w:rsidRDefault="00591924" w:rsidP="00591924">
      <w:pPr>
        <w:pStyle w:val="BodyTextbullets125"/>
        <w:rPr>
          <w:lang w:val="en-US"/>
        </w:rPr>
      </w:pPr>
      <w:r w:rsidRPr="00591924">
        <w:rPr>
          <w:lang w:val="en-US"/>
        </w:rPr>
        <w:t>Land acquisition for major collector and arterial roads on existing right-of-way to achieve a complete street, dedication under the Planning Act through development lands; and</w:t>
      </w:r>
    </w:p>
    <w:p w14:paraId="7AAF6804" w14:textId="77777777" w:rsidR="00591924" w:rsidRPr="00591924" w:rsidRDefault="00591924" w:rsidP="00591924">
      <w:pPr>
        <w:pStyle w:val="BodyTextbullets125"/>
        <w:rPr>
          <w:lang w:val="en-US"/>
        </w:rPr>
      </w:pPr>
      <w:r w:rsidRPr="00591924">
        <w:rPr>
          <w:lang w:val="en-US"/>
        </w:rPr>
        <w:t xml:space="preserve">Land acquisition for major collector </w:t>
      </w:r>
      <w:r w:rsidRPr="00591924">
        <w:t>and</w:t>
      </w:r>
      <w:r w:rsidRPr="00591924">
        <w:rPr>
          <w:lang w:val="en-US"/>
        </w:rPr>
        <w:t xml:space="preserve"> arterial roads on new right-of-way to achieve a complete street, dedication, where possible, under the Planning Act through development lands up to R.O.W. specified in the Official Plan.</w:t>
      </w:r>
    </w:p>
    <w:p w14:paraId="363653B8"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5D3693D5" w14:textId="77777777" w:rsidR="00591924" w:rsidRPr="00591924" w:rsidRDefault="00591924" w:rsidP="00591924">
      <w:pPr>
        <w:pStyle w:val="BodyTextbullets125"/>
        <w:rPr>
          <w:lang w:val="en-US"/>
        </w:rPr>
      </w:pPr>
      <w:r w:rsidRPr="00591924">
        <w:rPr>
          <w:lang w:val="en-US"/>
        </w:rPr>
        <w:t>New, widened, extended or upgraded major collector and arterial roads external to the development, inclusive of all associated infrastructure;</w:t>
      </w:r>
    </w:p>
    <w:p w14:paraId="11D231FE" w14:textId="77777777" w:rsidR="00591924" w:rsidRPr="00591924" w:rsidRDefault="00591924" w:rsidP="00591924">
      <w:pPr>
        <w:pStyle w:val="BodyTextbullets125"/>
        <w:rPr>
          <w:lang w:val="en-US"/>
        </w:rPr>
      </w:pPr>
      <w:r w:rsidRPr="00591924">
        <w:rPr>
          <w:lang w:val="en-US"/>
        </w:rPr>
        <w:t>The widening, extension or upgrading of local, minor collector or rural roads within a development, as needed to meet major collector and arterial road criteria, if identified through a Master Environmental Servicing Plan or Transportation Master Plan and provided that the contribution to oversizing through development charges shall be the total cost less the cost to construct the local, minor collector or rural road;</w:t>
      </w:r>
    </w:p>
    <w:p w14:paraId="47D4880F" w14:textId="77777777" w:rsidR="00591924" w:rsidRPr="00591924" w:rsidRDefault="00591924" w:rsidP="00591924">
      <w:pPr>
        <w:pStyle w:val="BodyTextbullets125"/>
        <w:rPr>
          <w:lang w:val="en-US"/>
        </w:rPr>
      </w:pPr>
      <w:r w:rsidRPr="00591924">
        <w:rPr>
          <w:lang w:val="en-US"/>
        </w:rPr>
        <w:t>Land acquisition for major collector and arterial road on existing right-of-way to achieve a complete street in areas with limited development; and</w:t>
      </w:r>
    </w:p>
    <w:p w14:paraId="3F74766D" w14:textId="77777777" w:rsidR="00591924" w:rsidRPr="00591924" w:rsidRDefault="00591924" w:rsidP="00591924">
      <w:pPr>
        <w:pStyle w:val="BodyTextbullets125"/>
        <w:rPr>
          <w:lang w:val="en-US"/>
        </w:rPr>
      </w:pPr>
      <w:r w:rsidRPr="00591924">
        <w:rPr>
          <w:lang w:val="en-US"/>
        </w:rPr>
        <w:t>Land acquisition beyond normal dedication requirements to achieve transportation corridors as services related to highways including grade separation infrastructure for the movement of pedestrians, cyclists, public transit and/or railway vehicles.</w:t>
      </w:r>
    </w:p>
    <w:p w14:paraId="71EFF84E" w14:textId="77777777" w:rsidR="00591924" w:rsidRPr="00591924" w:rsidRDefault="00591924" w:rsidP="00F43901">
      <w:pPr>
        <w:pStyle w:val="BodyText125"/>
        <w:numPr>
          <w:ilvl w:val="1"/>
          <w:numId w:val="28"/>
        </w:numPr>
        <w:ind w:left="567" w:hanging="501"/>
        <w:rPr>
          <w:bCs/>
          <w:lang w:val="en-US"/>
        </w:rPr>
      </w:pPr>
      <w:r w:rsidRPr="00591924">
        <w:rPr>
          <w:bCs/>
          <w:lang w:val="en-US"/>
        </w:rPr>
        <w:t>Traffic Improvements</w:t>
      </w:r>
    </w:p>
    <w:p w14:paraId="1E15B7D5"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423A24A5" w14:textId="77777777" w:rsidR="00591924" w:rsidRPr="00591924" w:rsidRDefault="00591924" w:rsidP="00591924">
      <w:pPr>
        <w:pStyle w:val="BodyTextbullets125"/>
        <w:rPr>
          <w:lang w:val="en-US"/>
        </w:rPr>
      </w:pPr>
      <w:r w:rsidRPr="00591924">
        <w:rPr>
          <w:lang w:val="en-US"/>
        </w:rPr>
        <w:t>On any roads or entrances related to or impacted by a specific development.</w:t>
      </w:r>
    </w:p>
    <w:p w14:paraId="4B9CA59B"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538A1914" w14:textId="77777777" w:rsidR="00591924" w:rsidRPr="00591924" w:rsidRDefault="00591924" w:rsidP="00591924">
      <w:pPr>
        <w:pStyle w:val="BodyTextbullets125"/>
        <w:rPr>
          <w:lang w:val="en-US"/>
        </w:rPr>
      </w:pPr>
      <w:r w:rsidRPr="00591924">
        <w:rPr>
          <w:lang w:val="en-US"/>
        </w:rPr>
        <w:t>On any roads attributed to growth and unrelated to a specific development; and</w:t>
      </w:r>
    </w:p>
    <w:p w14:paraId="73F0F213" w14:textId="77777777" w:rsidR="00591924" w:rsidRPr="00591924" w:rsidRDefault="00591924" w:rsidP="00591924">
      <w:pPr>
        <w:pStyle w:val="BodyTextbullets125"/>
        <w:rPr>
          <w:lang w:val="en-US"/>
        </w:rPr>
      </w:pPr>
      <w:r w:rsidRPr="00591924">
        <w:rPr>
          <w:lang w:val="en-US"/>
        </w:rPr>
        <w:t>On any road intersections with Regional roads these systems may be included in regional D.C.s or in certain circumstances, may be a direct developer responsibility.</w:t>
      </w:r>
    </w:p>
    <w:p w14:paraId="7D83AC9F" w14:textId="4670AFE6" w:rsidR="00591924" w:rsidRPr="00591924" w:rsidRDefault="00591924" w:rsidP="00F43901">
      <w:pPr>
        <w:pStyle w:val="BodyText125"/>
        <w:numPr>
          <w:ilvl w:val="1"/>
          <w:numId w:val="28"/>
        </w:numPr>
        <w:ind w:left="567" w:hanging="501"/>
        <w:rPr>
          <w:bCs/>
          <w:lang w:val="en-US"/>
        </w:rPr>
      </w:pPr>
      <w:r w:rsidRPr="00591924">
        <w:rPr>
          <w:bCs/>
          <w:lang w:val="en-US"/>
        </w:rPr>
        <w:t>Traffic Signals</w:t>
      </w:r>
    </w:p>
    <w:p w14:paraId="3F825B5A" w14:textId="140710F5"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06F774D3" w14:textId="354F2E25" w:rsidR="00591924" w:rsidRPr="00591924" w:rsidRDefault="00591924" w:rsidP="00591924">
      <w:pPr>
        <w:pStyle w:val="BodyTextbullets125"/>
        <w:rPr>
          <w:lang w:val="en-US"/>
        </w:rPr>
      </w:pPr>
      <w:r w:rsidRPr="00591924">
        <w:rPr>
          <w:lang w:val="en-US"/>
        </w:rPr>
        <w:t>Not applicable – service currently provided by Region of Waterloo.</w:t>
      </w:r>
    </w:p>
    <w:p w14:paraId="5E49700F" w14:textId="4D66F085" w:rsidR="00591924" w:rsidRPr="00591924" w:rsidRDefault="00591924" w:rsidP="00591924">
      <w:pPr>
        <w:pStyle w:val="BodyText125"/>
        <w:rPr>
          <w:bCs/>
          <w:lang w:val="en-US"/>
        </w:rPr>
      </w:pPr>
      <w:r w:rsidRPr="00591924">
        <w:rPr>
          <w:bCs/>
          <w:lang w:val="en-US"/>
        </w:rPr>
        <w:t>The costs of the following shall be payable through development charges:</w:t>
      </w:r>
    </w:p>
    <w:p w14:paraId="425CCC23" w14:textId="270A3B16" w:rsidR="00591924" w:rsidRPr="00591924" w:rsidRDefault="00591924" w:rsidP="00591924">
      <w:pPr>
        <w:pStyle w:val="BodyTextbullets125"/>
        <w:rPr>
          <w:lang w:val="en-US"/>
        </w:rPr>
      </w:pPr>
      <w:r w:rsidRPr="00591924">
        <w:rPr>
          <w:lang w:val="en-US"/>
        </w:rPr>
        <w:t>Not applicable – service currently provided by Region of Waterloo.</w:t>
      </w:r>
    </w:p>
    <w:p w14:paraId="7D1028A3" w14:textId="77777777" w:rsidR="00591924" w:rsidRPr="00591924" w:rsidRDefault="00591924" w:rsidP="00F43901">
      <w:pPr>
        <w:pStyle w:val="BodyText125"/>
        <w:numPr>
          <w:ilvl w:val="1"/>
          <w:numId w:val="28"/>
        </w:numPr>
        <w:ind w:left="567" w:hanging="501"/>
        <w:rPr>
          <w:bCs/>
          <w:lang w:val="en-US"/>
        </w:rPr>
      </w:pPr>
      <w:r w:rsidRPr="00591924">
        <w:rPr>
          <w:bCs/>
          <w:lang w:val="en-US"/>
        </w:rPr>
        <w:t>Streetlights</w:t>
      </w:r>
    </w:p>
    <w:p w14:paraId="6FF3F1D1"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7C90E1D2" w14:textId="77777777" w:rsidR="00591924" w:rsidRPr="00591924" w:rsidRDefault="00591924" w:rsidP="00591924">
      <w:pPr>
        <w:pStyle w:val="BodyTextbullets125"/>
        <w:rPr>
          <w:lang w:val="en-US"/>
        </w:rPr>
      </w:pPr>
      <w:r w:rsidRPr="00591924">
        <w:rPr>
          <w:lang w:val="en-US"/>
        </w:rPr>
        <w:t>Streetlights on any roads internal to the development; and</w:t>
      </w:r>
    </w:p>
    <w:p w14:paraId="5D344214" w14:textId="77777777" w:rsidR="00591924" w:rsidRPr="00591924" w:rsidRDefault="00591924" w:rsidP="00591924">
      <w:pPr>
        <w:pStyle w:val="BodyTextbullets125"/>
        <w:rPr>
          <w:lang w:val="en-US"/>
        </w:rPr>
      </w:pPr>
      <w:r w:rsidRPr="00591924">
        <w:rPr>
          <w:lang w:val="en-US"/>
        </w:rPr>
        <w:t>Streetlights on any roads external to the development and required to support the development or required to link with the area to which the plan relates.</w:t>
      </w:r>
    </w:p>
    <w:p w14:paraId="38D7DECB"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4C8AF04E" w14:textId="77777777" w:rsidR="00591924" w:rsidRPr="00591924" w:rsidRDefault="00591924" w:rsidP="00591924">
      <w:pPr>
        <w:pStyle w:val="BodyTextbullets125"/>
        <w:rPr>
          <w:lang w:val="en-US"/>
        </w:rPr>
      </w:pPr>
      <w:r w:rsidRPr="00591924">
        <w:rPr>
          <w:lang w:val="en-US"/>
        </w:rPr>
        <w:t>Streetlights on any roads external to the development and not required to support the development or required to link with the area to which the plan relates.</w:t>
      </w:r>
    </w:p>
    <w:p w14:paraId="0931C305" w14:textId="77777777" w:rsidR="00591924" w:rsidRPr="00591924" w:rsidRDefault="00591924" w:rsidP="00F43901">
      <w:pPr>
        <w:pStyle w:val="BodyText125"/>
        <w:numPr>
          <w:ilvl w:val="1"/>
          <w:numId w:val="28"/>
        </w:numPr>
        <w:ind w:left="567" w:hanging="501"/>
        <w:rPr>
          <w:bCs/>
          <w:lang w:val="en-US"/>
        </w:rPr>
      </w:pPr>
      <w:r w:rsidRPr="00591924">
        <w:rPr>
          <w:bCs/>
          <w:lang w:val="en-US"/>
        </w:rPr>
        <w:t xml:space="preserve">Active Transportation </w:t>
      </w:r>
    </w:p>
    <w:p w14:paraId="551352C2"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615AC24D" w14:textId="77777777" w:rsidR="00591924" w:rsidRPr="00591924" w:rsidRDefault="00591924" w:rsidP="00591924">
      <w:pPr>
        <w:pStyle w:val="BodyTextbullets125"/>
        <w:rPr>
          <w:lang w:val="en-US"/>
        </w:rPr>
      </w:pPr>
      <w:r w:rsidRPr="00591924">
        <w:rPr>
          <w:lang w:val="en-US"/>
        </w:rPr>
        <w:t>Sidewalks, multi-use trails, separated bicycle lanes and supporting cycling facilities, inclusive of all required infrastructure, located within or linking to road corridors internal to development; and</w:t>
      </w:r>
    </w:p>
    <w:p w14:paraId="71DCFE67" w14:textId="77777777" w:rsidR="00591924" w:rsidRPr="00591924" w:rsidRDefault="00591924" w:rsidP="00591924">
      <w:pPr>
        <w:pStyle w:val="BodyTextbullets125"/>
        <w:rPr>
          <w:lang w:val="en-US"/>
        </w:rPr>
      </w:pPr>
      <w:r w:rsidRPr="00591924">
        <w:rPr>
          <w:lang w:val="en-US"/>
        </w:rPr>
        <w:t>Sidewalks, multi-use trails, separated bicycle lanes and supporting cycling facilities, inclusive of all required infrastructure, located within road corridors external to development and needed to support a specific development or required to link with the area to which the plan relates.</w:t>
      </w:r>
    </w:p>
    <w:p w14:paraId="4618ADFA"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3BD733B3" w14:textId="77777777" w:rsidR="00591924" w:rsidRPr="00591924" w:rsidRDefault="00591924" w:rsidP="00591924">
      <w:pPr>
        <w:pStyle w:val="BodyTextbullets125"/>
        <w:rPr>
          <w:lang w:val="en-US"/>
        </w:rPr>
      </w:pPr>
      <w:r w:rsidRPr="00591924">
        <w:rPr>
          <w:lang w:val="en-US"/>
        </w:rPr>
        <w:t>Sidewalks, multi-use trails, separated bicycle lanes and supporting cycling facilities, inclusive of all required infrastructure, located within roads external to the development, not needed to support a specific development or required to link with the area to which the plan relates, including regional roads and provincial highway corridors; and</w:t>
      </w:r>
    </w:p>
    <w:p w14:paraId="49E738BD" w14:textId="77777777" w:rsidR="00591924" w:rsidRPr="00591924" w:rsidRDefault="00591924" w:rsidP="00591924">
      <w:pPr>
        <w:pStyle w:val="BodyTextbullets125"/>
        <w:rPr>
          <w:lang w:val="en-US"/>
        </w:rPr>
      </w:pPr>
      <w:r w:rsidRPr="00591924">
        <w:rPr>
          <w:lang w:val="en-US"/>
        </w:rPr>
        <w:t>Multi-use trails and separated bicycle lanes (not associated with a road) inclusive of all land and required infrastructure, that go beyond the function of a recreational trail and form part of the municipality’s active transportation network for cycling and/or walking.</w:t>
      </w:r>
    </w:p>
    <w:p w14:paraId="467874EA" w14:textId="77777777" w:rsidR="00591924" w:rsidRPr="00591924" w:rsidRDefault="00591924" w:rsidP="00F43901">
      <w:pPr>
        <w:pStyle w:val="BodyText125"/>
        <w:numPr>
          <w:ilvl w:val="1"/>
          <w:numId w:val="28"/>
        </w:numPr>
        <w:ind w:left="567" w:hanging="501"/>
        <w:rPr>
          <w:bCs/>
          <w:lang w:val="en-US"/>
        </w:rPr>
      </w:pPr>
      <w:r w:rsidRPr="00591924">
        <w:rPr>
          <w:bCs/>
          <w:lang w:val="en-US"/>
        </w:rPr>
        <w:t>Noise abatement measures</w:t>
      </w:r>
    </w:p>
    <w:p w14:paraId="162A0F13"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66910C1D" w14:textId="77777777" w:rsidR="00591924" w:rsidRPr="00591924" w:rsidRDefault="00591924" w:rsidP="00591924">
      <w:pPr>
        <w:pStyle w:val="BodyTextbullets125"/>
        <w:rPr>
          <w:lang w:val="en-US"/>
        </w:rPr>
      </w:pPr>
      <w:r w:rsidRPr="00591924">
        <w:rPr>
          <w:lang w:val="en-US"/>
        </w:rPr>
        <w:t>Measures external and internal to development where it is related to, or a requirement of a specific development.</w:t>
      </w:r>
    </w:p>
    <w:p w14:paraId="658AA7EC"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1358FE73" w14:textId="77777777" w:rsidR="00591924" w:rsidRPr="00591924" w:rsidRDefault="00591924" w:rsidP="00591924">
      <w:pPr>
        <w:pStyle w:val="BodyTextbullets125"/>
        <w:rPr>
          <w:lang w:val="en-US"/>
        </w:rPr>
      </w:pPr>
      <w:r w:rsidRPr="00591924">
        <w:t>Measures</w:t>
      </w:r>
      <w:r w:rsidRPr="00591924">
        <w:rPr>
          <w:lang w:val="en-US"/>
        </w:rPr>
        <w:t xml:space="preserve"> on new roads and road improvements abutting an existing community attributed to growth and unrelated to a specific development.</w:t>
      </w:r>
    </w:p>
    <w:p w14:paraId="582642F7" w14:textId="77777777" w:rsidR="00591924" w:rsidRPr="00591924" w:rsidRDefault="00591924" w:rsidP="00F43901">
      <w:pPr>
        <w:pStyle w:val="BodyText125"/>
        <w:numPr>
          <w:ilvl w:val="1"/>
          <w:numId w:val="28"/>
        </w:numPr>
        <w:ind w:left="567" w:hanging="501"/>
        <w:rPr>
          <w:bCs/>
          <w:lang w:val="en-US"/>
        </w:rPr>
      </w:pPr>
      <w:r w:rsidRPr="00591924">
        <w:rPr>
          <w:bCs/>
          <w:lang w:val="en-US"/>
        </w:rPr>
        <w:t>Transit Lay-bys</w:t>
      </w:r>
    </w:p>
    <w:p w14:paraId="4EE3D89E"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15FA0BE7" w14:textId="77777777" w:rsidR="00591924" w:rsidRPr="00591924" w:rsidRDefault="00591924" w:rsidP="00591924">
      <w:pPr>
        <w:pStyle w:val="BodyTextbullets125"/>
        <w:rPr>
          <w:lang w:val="en-US"/>
        </w:rPr>
      </w:pPr>
      <w:r w:rsidRPr="00591924">
        <w:rPr>
          <w:lang w:val="en-US"/>
        </w:rPr>
        <w:t>Transit lay-bys internal to the development; and</w:t>
      </w:r>
    </w:p>
    <w:p w14:paraId="34A762FA" w14:textId="77777777" w:rsidR="00591924" w:rsidRPr="00591924" w:rsidRDefault="00591924" w:rsidP="00591924">
      <w:pPr>
        <w:pStyle w:val="BodyTextbullets125"/>
        <w:rPr>
          <w:lang w:val="en-US"/>
        </w:rPr>
      </w:pPr>
      <w:r w:rsidRPr="00591924">
        <w:rPr>
          <w:lang w:val="en-US"/>
        </w:rPr>
        <w:t>Transit lay-bys external to the development and required to support the development.</w:t>
      </w:r>
    </w:p>
    <w:p w14:paraId="148CE44B" w14:textId="77777777" w:rsidR="00591924" w:rsidRPr="00591924" w:rsidRDefault="00591924" w:rsidP="00591924">
      <w:pPr>
        <w:pStyle w:val="BodyText125"/>
        <w:rPr>
          <w:lang w:val="en-US"/>
        </w:rPr>
      </w:pPr>
      <w:r w:rsidRPr="00591924">
        <w:rPr>
          <w:lang w:val="en-US"/>
        </w:rPr>
        <w:t>The costs of the following shall be payable through development charges:</w:t>
      </w:r>
    </w:p>
    <w:p w14:paraId="7C1ED20E" w14:textId="77777777" w:rsidR="00591924" w:rsidRPr="00591924" w:rsidRDefault="00591924" w:rsidP="00591924">
      <w:pPr>
        <w:pStyle w:val="BodyTextbullets125"/>
        <w:rPr>
          <w:lang w:val="en-US"/>
        </w:rPr>
      </w:pPr>
      <w:r w:rsidRPr="00591924">
        <w:rPr>
          <w:lang w:val="en-US"/>
        </w:rPr>
        <w:t>Transit lay-bys attributed to growth and unrelated to specific development.</w:t>
      </w:r>
    </w:p>
    <w:p w14:paraId="456D67DC" w14:textId="77777777" w:rsidR="00591924" w:rsidRPr="00591924" w:rsidRDefault="00591924" w:rsidP="00F43901">
      <w:pPr>
        <w:pStyle w:val="BodyText125"/>
        <w:numPr>
          <w:ilvl w:val="1"/>
          <w:numId w:val="28"/>
        </w:numPr>
        <w:ind w:left="567" w:hanging="501"/>
        <w:rPr>
          <w:bCs/>
          <w:lang w:val="en-US"/>
        </w:rPr>
      </w:pPr>
      <w:r w:rsidRPr="00591924">
        <w:rPr>
          <w:bCs/>
          <w:lang w:val="en-US"/>
        </w:rPr>
        <w:t>Transit lanes, bus stops and amenities</w:t>
      </w:r>
    </w:p>
    <w:p w14:paraId="113637AB"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68025F4E" w14:textId="77777777" w:rsidR="00591924" w:rsidRPr="00591924" w:rsidRDefault="00591924" w:rsidP="00591924">
      <w:pPr>
        <w:pStyle w:val="BodyTextbullets125"/>
        <w:rPr>
          <w:lang w:val="en-US"/>
        </w:rPr>
      </w:pPr>
      <w:r w:rsidRPr="00591924">
        <w:rPr>
          <w:lang w:val="en-US"/>
        </w:rPr>
        <w:t>Not applicable – service currently provided by Region of Waterloo.</w:t>
      </w:r>
    </w:p>
    <w:p w14:paraId="3E0F186A"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6428759E" w14:textId="77777777" w:rsidR="00591924" w:rsidRPr="00591924" w:rsidRDefault="00591924" w:rsidP="00591924">
      <w:pPr>
        <w:pStyle w:val="BodyTextbullets125"/>
        <w:rPr>
          <w:lang w:val="en-US"/>
        </w:rPr>
      </w:pPr>
      <w:r w:rsidRPr="00591924">
        <w:rPr>
          <w:lang w:val="en-US"/>
        </w:rPr>
        <w:t>Not applicable – service currently provided by Region of Waterloo.</w:t>
      </w:r>
    </w:p>
    <w:p w14:paraId="7F3529CD" w14:textId="77777777" w:rsidR="00591924" w:rsidRPr="00591924" w:rsidRDefault="00591924" w:rsidP="00F43901">
      <w:pPr>
        <w:pStyle w:val="BodyText125"/>
        <w:numPr>
          <w:ilvl w:val="0"/>
          <w:numId w:val="28"/>
        </w:numPr>
        <w:rPr>
          <w:bCs/>
          <w:lang w:val="en-US"/>
        </w:rPr>
      </w:pPr>
      <w:r w:rsidRPr="00591924">
        <w:rPr>
          <w:bCs/>
          <w:lang w:val="en-US"/>
        </w:rPr>
        <w:t>Parkland Development</w:t>
      </w:r>
    </w:p>
    <w:p w14:paraId="3591A3E5" w14:textId="77777777" w:rsidR="00591924" w:rsidRPr="00591924" w:rsidRDefault="00591924" w:rsidP="00F43901">
      <w:pPr>
        <w:pStyle w:val="BodyText125"/>
        <w:numPr>
          <w:ilvl w:val="1"/>
          <w:numId w:val="28"/>
        </w:numPr>
        <w:ind w:left="567" w:hanging="501"/>
        <w:rPr>
          <w:bCs/>
          <w:lang w:val="en-US"/>
        </w:rPr>
      </w:pPr>
      <w:r w:rsidRPr="00591924">
        <w:rPr>
          <w:bCs/>
          <w:lang w:val="en-US"/>
        </w:rPr>
        <w:t xml:space="preserve">Recreational Trails </w:t>
      </w:r>
    </w:p>
    <w:p w14:paraId="2F495CF0"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2C7F2760" w14:textId="77777777" w:rsidR="00591924" w:rsidRPr="00591924" w:rsidRDefault="00591924" w:rsidP="00591924">
      <w:pPr>
        <w:pStyle w:val="BodyTextbullets125"/>
        <w:rPr>
          <w:lang w:val="en-US"/>
        </w:rPr>
      </w:pPr>
      <w:r w:rsidRPr="00591924">
        <w:rPr>
          <w:lang w:val="en-US"/>
        </w:rPr>
        <w:t>Recreational trails and associated infrastructure (landscaping, bridges, trail surfaces, etc.) internal to the development and where applicable, connecting to external trails and transportation infrastructure including, but not limited to, cycling facilities, sidewalks, multi-use trails, and walkways.</w:t>
      </w:r>
    </w:p>
    <w:p w14:paraId="25164C98"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638517F7" w14:textId="77777777" w:rsidR="00591924" w:rsidRPr="00591924" w:rsidRDefault="00591924" w:rsidP="00591924">
      <w:pPr>
        <w:pStyle w:val="BodyTextbullets125"/>
        <w:rPr>
          <w:lang w:val="en-US"/>
        </w:rPr>
      </w:pPr>
      <w:r w:rsidRPr="00591924">
        <w:rPr>
          <w:lang w:val="en-US"/>
        </w:rPr>
        <w:t>Recreational trails and associated infrastructure (landscaping, bridges, trail surfaces, boardwalks, etc.) external to a specific development.</w:t>
      </w:r>
    </w:p>
    <w:p w14:paraId="03F55A24" w14:textId="77777777" w:rsidR="00591924" w:rsidRPr="00591924" w:rsidRDefault="00591924" w:rsidP="00F43901">
      <w:pPr>
        <w:pStyle w:val="BodyText125"/>
        <w:numPr>
          <w:ilvl w:val="1"/>
          <w:numId w:val="28"/>
        </w:numPr>
        <w:ind w:left="567" w:hanging="501"/>
        <w:rPr>
          <w:bCs/>
          <w:lang w:val="en-US"/>
        </w:rPr>
      </w:pPr>
      <w:r w:rsidRPr="00591924">
        <w:rPr>
          <w:bCs/>
          <w:lang w:val="en-US"/>
        </w:rPr>
        <w:t>Parkland</w:t>
      </w:r>
    </w:p>
    <w:p w14:paraId="768FD0C5"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06491087" w14:textId="77777777" w:rsidR="00591924" w:rsidRPr="00591924" w:rsidRDefault="00591924" w:rsidP="00591924">
      <w:pPr>
        <w:pStyle w:val="BodyTextbullets125"/>
        <w:rPr>
          <w:lang w:val="en-US"/>
        </w:rPr>
      </w:pPr>
      <w:r w:rsidRPr="00591924">
        <w:rPr>
          <w:lang w:val="en-US"/>
        </w:rPr>
        <w:t xml:space="preserve">Land for parks is generally acquired through dedications required under a by-law passed pursuant to sections 41 and 42 of the Planning Act, as a condition of approval of a draft plan of subdivision under section 51.1 of the Planning Act, as a condition of a consent under section 53 of the Planning Act, or from the expenditure of funds collected in lieu of a required dedication under one of those sections; </w:t>
      </w:r>
    </w:p>
    <w:p w14:paraId="3C0BC15E" w14:textId="77777777" w:rsidR="00591924" w:rsidRPr="00591924" w:rsidRDefault="00591924" w:rsidP="00591924">
      <w:pPr>
        <w:pStyle w:val="BodyTextbullets125"/>
        <w:rPr>
          <w:lang w:val="en-US"/>
        </w:rPr>
      </w:pPr>
      <w:r w:rsidRPr="00591924">
        <w:rPr>
          <w:lang w:val="en-US"/>
        </w:rPr>
        <w:t>Basic Parkland Development of lands conveyed, or to be conveyed, to the City for park or other public recreational purposes in connection with Development; and</w:t>
      </w:r>
    </w:p>
    <w:p w14:paraId="2A060113" w14:textId="77777777" w:rsidR="00591924" w:rsidRPr="00591924" w:rsidRDefault="00591924" w:rsidP="00591924">
      <w:pPr>
        <w:pStyle w:val="BodyTextbullets125"/>
        <w:rPr>
          <w:lang w:val="en-US"/>
        </w:rPr>
      </w:pPr>
      <w:r w:rsidRPr="00591924">
        <w:rPr>
          <w:lang w:val="en-US"/>
        </w:rPr>
        <w:t>Optional over-dedication of parklands comprised of land still meeting the City’s specification for parkland use internal or external to the development.</w:t>
      </w:r>
    </w:p>
    <w:p w14:paraId="43640C25"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7032C3E6" w14:textId="77777777" w:rsidR="00591924" w:rsidRPr="00591924" w:rsidRDefault="00591924" w:rsidP="00591924">
      <w:pPr>
        <w:pStyle w:val="BodyTextbullets125"/>
        <w:rPr>
          <w:lang w:val="en-US"/>
        </w:rPr>
      </w:pPr>
      <w:r w:rsidRPr="00591924">
        <w:rPr>
          <w:lang w:val="en-US"/>
        </w:rPr>
        <w:t>Design and implementation of facilities and all other associated site works exceeding Basic Parkland Development. Upon receiving written approval from the City, developers may request to undertake such work on behalf of the City and will receive a credit for the work undertaken based on actual costs incurred by the developer up to an upset limit of the value of the work agreed upon prior to undertaking the work which shall not in any case exceed the actual cost of the works.  In some instances, the City may choose to do these works where lands are available to the City and the works can be undertaken as part of other City projects.</w:t>
      </w:r>
    </w:p>
    <w:p w14:paraId="6692544D" w14:textId="77777777" w:rsidR="00591924" w:rsidRPr="00591924" w:rsidRDefault="00591924" w:rsidP="00F43901">
      <w:pPr>
        <w:pStyle w:val="BodyText125"/>
        <w:numPr>
          <w:ilvl w:val="1"/>
          <w:numId w:val="28"/>
        </w:numPr>
        <w:ind w:left="567" w:hanging="501"/>
        <w:rPr>
          <w:bCs/>
          <w:lang w:val="en-US"/>
        </w:rPr>
      </w:pPr>
      <w:r w:rsidRPr="00591924">
        <w:rPr>
          <w:bCs/>
          <w:lang w:val="en-US"/>
        </w:rPr>
        <w:t>Landscape buffer blocks, features, cul-de-sac island, berms, grade transition areas, gateway features, walkway connections, open space</w:t>
      </w:r>
    </w:p>
    <w:p w14:paraId="16B8F0A8"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4FF518F9" w14:textId="77777777" w:rsidR="00591924" w:rsidRPr="00591924" w:rsidRDefault="00591924" w:rsidP="00591924">
      <w:pPr>
        <w:pStyle w:val="BodyTextbullets125"/>
        <w:rPr>
          <w:lang w:val="en-US"/>
        </w:rPr>
      </w:pPr>
      <w:r w:rsidRPr="00591924">
        <w:rPr>
          <w:lang w:val="en-US"/>
        </w:rPr>
        <w:t>Development of all landscape buffer blocks, landscape features, gateway features, cul-de-sac islands, berms, grade transition areas, retaining walls, walkway connections, open space and other remnant pieces of land conveyed to the municipality, including, but not limited to, clearing and grubbing, pre-grading, sodding or seeding, supply and installation of amended topsoil, landscape features, perimeter fencing, amenities and all planting, and related municipal or hydro services;</w:t>
      </w:r>
    </w:p>
    <w:p w14:paraId="08CBEE4A" w14:textId="77777777" w:rsidR="00591924" w:rsidRPr="00591924" w:rsidRDefault="00591924" w:rsidP="00591924">
      <w:pPr>
        <w:pStyle w:val="BodyTextbullets125"/>
        <w:rPr>
          <w:lang w:val="en-US"/>
        </w:rPr>
      </w:pPr>
      <w:r w:rsidRPr="00591924">
        <w:rPr>
          <w:lang w:val="en-US"/>
        </w:rPr>
        <w:t>Perimeter fencing on public lands as directed by the City; and</w:t>
      </w:r>
    </w:p>
    <w:p w14:paraId="12813A98" w14:textId="77777777" w:rsidR="00591924" w:rsidRPr="00591924" w:rsidRDefault="00591924" w:rsidP="00591924">
      <w:pPr>
        <w:pStyle w:val="BodyTextbullets125"/>
        <w:rPr>
          <w:lang w:val="en-US"/>
        </w:rPr>
      </w:pPr>
      <w:r w:rsidRPr="00591924">
        <w:rPr>
          <w:lang w:val="en-US"/>
        </w:rPr>
        <w:t>Special landscape or built features not required by the City, or which exceed City standards or average service levels, subject to receiving written approval from the City. The City will generally not accept any responsibility for the costs of constructing or maintaining such features and may require a perpetual maintenance agreement to be entered into.</w:t>
      </w:r>
    </w:p>
    <w:p w14:paraId="02B1850E"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6F4A2786" w14:textId="77777777" w:rsidR="00591924" w:rsidRPr="00591924" w:rsidRDefault="00591924" w:rsidP="00591924">
      <w:pPr>
        <w:pStyle w:val="BodyTextbullets125"/>
        <w:rPr>
          <w:lang w:val="en-US"/>
        </w:rPr>
      </w:pPr>
      <w:r w:rsidRPr="00591924">
        <w:rPr>
          <w:lang w:val="en-US"/>
        </w:rPr>
        <w:t>Not applicable.</w:t>
      </w:r>
    </w:p>
    <w:p w14:paraId="0ADB3DCA" w14:textId="77777777" w:rsidR="00591924" w:rsidRPr="00591924" w:rsidRDefault="00591924" w:rsidP="00F43901">
      <w:pPr>
        <w:pStyle w:val="BodyText125"/>
        <w:numPr>
          <w:ilvl w:val="1"/>
          <w:numId w:val="28"/>
        </w:numPr>
        <w:ind w:left="567" w:hanging="501"/>
        <w:rPr>
          <w:bCs/>
          <w:lang w:val="en-US"/>
        </w:rPr>
      </w:pPr>
      <w:r w:rsidRPr="00591924">
        <w:rPr>
          <w:bCs/>
          <w:lang w:val="en-US"/>
        </w:rPr>
        <w:t>Natural Heritage System</w:t>
      </w:r>
    </w:p>
    <w:p w14:paraId="17DE2D66"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418072AE" w14:textId="77777777" w:rsidR="00591924" w:rsidRPr="00591924" w:rsidRDefault="00591924" w:rsidP="00591924">
      <w:pPr>
        <w:pStyle w:val="BodyTextbullets125"/>
        <w:rPr>
          <w:lang w:val="en-US"/>
        </w:rPr>
      </w:pPr>
      <w:r w:rsidRPr="00591924">
        <w:rPr>
          <w:lang w:val="en-US"/>
        </w:rPr>
        <w:t>Riparian planting and landscaping requirements (as required by the City, the Grand River Conservation Authority or other authorities having jurisdiction) as a result of creation of, or construction near the natural heritage system and associated buffers; and</w:t>
      </w:r>
    </w:p>
    <w:p w14:paraId="77BC41C4" w14:textId="77777777" w:rsidR="00591924" w:rsidRPr="00591924" w:rsidRDefault="00591924" w:rsidP="00591924">
      <w:pPr>
        <w:pStyle w:val="BodyTextbullets125"/>
        <w:rPr>
          <w:lang w:val="en-US"/>
        </w:rPr>
      </w:pPr>
      <w:r w:rsidRPr="00591924">
        <w:rPr>
          <w:lang w:val="en-US"/>
        </w:rPr>
        <w:t>Perimeter fencing of the natural heritage system located on public property side of any adjacent land uses.</w:t>
      </w:r>
    </w:p>
    <w:p w14:paraId="0C340420"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428F0648" w14:textId="77777777" w:rsidR="00591924" w:rsidRPr="00591924" w:rsidRDefault="00591924" w:rsidP="00591924">
      <w:pPr>
        <w:pStyle w:val="BodyTextbullets125"/>
        <w:rPr>
          <w:lang w:val="en-US"/>
        </w:rPr>
      </w:pPr>
      <w:r w:rsidRPr="00591924">
        <w:rPr>
          <w:lang w:val="en-US"/>
        </w:rPr>
        <w:t>Not applicable.</w:t>
      </w:r>
    </w:p>
    <w:p w14:paraId="03F0DD04" w14:textId="77777777" w:rsidR="00591924" w:rsidRPr="00591924" w:rsidRDefault="00591924" w:rsidP="00F43901">
      <w:pPr>
        <w:pStyle w:val="BodyText125"/>
        <w:numPr>
          <w:ilvl w:val="0"/>
          <w:numId w:val="28"/>
        </w:numPr>
        <w:rPr>
          <w:bCs/>
          <w:lang w:val="en-US"/>
        </w:rPr>
      </w:pPr>
      <w:r w:rsidRPr="00591924">
        <w:rPr>
          <w:bCs/>
          <w:lang w:val="en-US"/>
        </w:rPr>
        <w:t>Stormwater Management</w:t>
      </w:r>
    </w:p>
    <w:p w14:paraId="4A5B824C"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33A27F04" w14:textId="77777777" w:rsidR="00591924" w:rsidRPr="00591924" w:rsidRDefault="00591924" w:rsidP="00591924">
      <w:pPr>
        <w:pStyle w:val="BodyTextbullets125"/>
        <w:rPr>
          <w:lang w:val="en-US"/>
        </w:rPr>
      </w:pPr>
      <w:r w:rsidRPr="00591924">
        <w:rPr>
          <w:lang w:val="en-US"/>
        </w:rPr>
        <w:t>Provide stormwater management facilities, including quality and quantity management and downstream erosion works, related to an individual development, inclusive of land and all infrastructure such as landscaping and fencing;</w:t>
      </w:r>
    </w:p>
    <w:p w14:paraId="7BEF9B62" w14:textId="77777777" w:rsidR="00591924" w:rsidRPr="00591924" w:rsidRDefault="00591924" w:rsidP="00591924">
      <w:pPr>
        <w:pStyle w:val="BodyTextbullets125"/>
        <w:rPr>
          <w:lang w:val="en-US"/>
        </w:rPr>
      </w:pPr>
      <w:r w:rsidRPr="00591924">
        <w:rPr>
          <w:lang w:val="en-US"/>
        </w:rPr>
        <w:t>Erosion works, inclusive of all restoration requirements, related to a development application;</w:t>
      </w:r>
    </w:p>
    <w:p w14:paraId="32290420" w14:textId="77777777" w:rsidR="00591924" w:rsidRPr="00591924" w:rsidRDefault="00591924" w:rsidP="00591924">
      <w:pPr>
        <w:pStyle w:val="BodyTextbullets125"/>
        <w:rPr>
          <w:lang w:val="en-US"/>
        </w:rPr>
      </w:pPr>
      <w:r w:rsidRPr="00591924">
        <w:rPr>
          <w:lang w:val="en-US"/>
        </w:rPr>
        <w:t>Dedication of all lands required for stormwater management facilities including any lands for oversizing capacity to service external drainage areas in accordance with a City approved Master Environmental Servicing Plan or the South-East Galt Community Plan; and</w:t>
      </w:r>
    </w:p>
    <w:p w14:paraId="6A900D79" w14:textId="77777777" w:rsidR="00591924" w:rsidRPr="00591924" w:rsidRDefault="00591924" w:rsidP="00591924">
      <w:pPr>
        <w:pStyle w:val="BodyTextbullets125"/>
        <w:rPr>
          <w:lang w:val="en-US"/>
        </w:rPr>
      </w:pPr>
      <w:r w:rsidRPr="00591924">
        <w:rPr>
          <w:lang w:val="en-US"/>
        </w:rPr>
        <w:t>Monitoring required by the City or Grand River Conservation Authority, where applicable.</w:t>
      </w:r>
    </w:p>
    <w:p w14:paraId="3361D098"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4A8C37CD" w14:textId="77777777" w:rsidR="00591924" w:rsidRPr="00591924" w:rsidRDefault="00591924" w:rsidP="00591924">
      <w:pPr>
        <w:pStyle w:val="BodyTextbullets125"/>
        <w:rPr>
          <w:lang w:val="en-US"/>
        </w:rPr>
      </w:pPr>
      <w:r w:rsidRPr="00591924">
        <w:rPr>
          <w:lang w:val="en-US"/>
        </w:rPr>
        <w:t>Oversizing of pond capacity, outlet structures and winter bypass systems based on contributing impervious area, to accommodate runoff from new, widened, extended or upgraded roads that are funded as a development charge project, but excluding land; and</w:t>
      </w:r>
    </w:p>
    <w:p w14:paraId="0045927C" w14:textId="77777777" w:rsidR="00591924" w:rsidRPr="00591924" w:rsidRDefault="00591924" w:rsidP="00591924">
      <w:pPr>
        <w:pStyle w:val="BodyTextbullets125"/>
        <w:rPr>
          <w:lang w:val="en-US"/>
        </w:rPr>
      </w:pPr>
      <w:r w:rsidRPr="00591924">
        <w:rPr>
          <w:lang w:val="en-US"/>
        </w:rPr>
        <w:t>Oversizing of pond capacity, outlet structures and winter bypass systems to service external drainage areas in accordance with a City approved Master Environmental Servicing Plan, Master Drainage Plan, Subwatershed Study or the South-East Galt Community Plan, but excluding land.</w:t>
      </w:r>
    </w:p>
    <w:p w14:paraId="08115ED1" w14:textId="77777777" w:rsidR="00591924" w:rsidRPr="00591924" w:rsidRDefault="00591924" w:rsidP="00F43901">
      <w:pPr>
        <w:pStyle w:val="BodyText125"/>
        <w:numPr>
          <w:ilvl w:val="0"/>
          <w:numId w:val="28"/>
        </w:numPr>
        <w:rPr>
          <w:bCs/>
          <w:lang w:val="en-US"/>
        </w:rPr>
      </w:pPr>
      <w:r w:rsidRPr="00591924">
        <w:rPr>
          <w:bCs/>
          <w:lang w:val="en-US"/>
        </w:rPr>
        <w:t>Underground Services</w:t>
      </w:r>
    </w:p>
    <w:p w14:paraId="1D6F1B25" w14:textId="77777777" w:rsidR="00591924" w:rsidRPr="00591924" w:rsidRDefault="00591924" w:rsidP="00591924">
      <w:pPr>
        <w:pStyle w:val="BodyText125"/>
        <w:rPr>
          <w:bCs/>
          <w:lang w:val="en-US"/>
        </w:rPr>
      </w:pPr>
      <w:r w:rsidRPr="00591924">
        <w:rPr>
          <w:bCs/>
          <w:lang w:val="en-US"/>
        </w:rPr>
        <w:t>The costs of the following items shall be direct developer responsibilities as a local service:</w:t>
      </w:r>
    </w:p>
    <w:p w14:paraId="4A712A88" w14:textId="77777777" w:rsidR="00591924" w:rsidRPr="00591924" w:rsidRDefault="00591924" w:rsidP="00591924">
      <w:pPr>
        <w:pStyle w:val="BodyTextbullets125"/>
        <w:rPr>
          <w:lang w:val="en-US"/>
        </w:rPr>
      </w:pPr>
      <w:r w:rsidRPr="00591924">
        <w:rPr>
          <w:lang w:val="en-US"/>
        </w:rPr>
        <w:t>All underground services internal to the development, including storm, water and sanitary;</w:t>
      </w:r>
    </w:p>
    <w:p w14:paraId="727974AA" w14:textId="77777777" w:rsidR="00591924" w:rsidRPr="00591924" w:rsidRDefault="00591924" w:rsidP="00591924">
      <w:pPr>
        <w:pStyle w:val="BodyTextbullets125"/>
        <w:rPr>
          <w:lang w:val="en-US"/>
        </w:rPr>
      </w:pPr>
      <w:r w:rsidRPr="00591924">
        <w:rPr>
          <w:lang w:val="en-US"/>
        </w:rPr>
        <w:t>Service connections from existing services to the development;</w:t>
      </w:r>
    </w:p>
    <w:p w14:paraId="387D8A68" w14:textId="77777777" w:rsidR="00591924" w:rsidRPr="00591924" w:rsidRDefault="00591924" w:rsidP="00591924">
      <w:pPr>
        <w:pStyle w:val="BodyTextbullets125"/>
        <w:rPr>
          <w:lang w:val="en-US"/>
        </w:rPr>
      </w:pPr>
      <w:r w:rsidRPr="00591924">
        <w:rPr>
          <w:lang w:val="en-US"/>
        </w:rPr>
        <w:t>Providing new underground services or upgrading existing services external to the development if the services are required to service the development; and</w:t>
      </w:r>
    </w:p>
    <w:p w14:paraId="433379F1" w14:textId="77777777" w:rsidR="00591924" w:rsidRPr="00591924" w:rsidRDefault="00591924" w:rsidP="00591924">
      <w:pPr>
        <w:pStyle w:val="BodyTextbullets125"/>
        <w:rPr>
          <w:lang w:val="en-US"/>
        </w:rPr>
      </w:pPr>
      <w:r w:rsidRPr="00591924">
        <w:rPr>
          <w:lang w:val="en-US"/>
        </w:rPr>
        <w:t>If underground services are required by two or more developments but they do not meet the criteria for development charge funding, the developer of the first development will be responsible for the cost of these services and may enter into cost-sharing agreements with other developers independent of the City.</w:t>
      </w:r>
    </w:p>
    <w:p w14:paraId="28D9FB4D"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4D8A9043" w14:textId="77777777" w:rsidR="00591924" w:rsidRPr="00591924" w:rsidRDefault="00591924" w:rsidP="00591924">
      <w:pPr>
        <w:pStyle w:val="BodyTextbullets125"/>
        <w:rPr>
          <w:lang w:val="en-US"/>
        </w:rPr>
      </w:pPr>
      <w:r w:rsidRPr="00591924">
        <w:rPr>
          <w:lang w:val="en-US"/>
        </w:rPr>
        <w:t>Trunk infrastructure exceeding 300 mm for water and sanitary and 900 mm for storm, provided that the oversizing is required to service existing external upstream lands and provided that the contribution towards oversizing through development charges shall be the total cost less the cost to construct a 300 mm pipe for water and sanitary or a 900 mm pipe for storm;</w:t>
      </w:r>
    </w:p>
    <w:p w14:paraId="57CD4BA1" w14:textId="77777777" w:rsidR="00591924" w:rsidRPr="00591924" w:rsidRDefault="00591924" w:rsidP="00591924">
      <w:pPr>
        <w:pStyle w:val="BodyTextbullets125"/>
        <w:rPr>
          <w:lang w:val="en-US"/>
        </w:rPr>
      </w:pPr>
      <w:r w:rsidRPr="00591924">
        <w:rPr>
          <w:lang w:val="en-US"/>
        </w:rPr>
        <w:t>Oversizing of storm sewers within a development to accommodate runoff from new, widened, extended or upgraded roads that are funded as a development charge project; and</w:t>
      </w:r>
    </w:p>
    <w:p w14:paraId="79DB51E7" w14:textId="77777777" w:rsidR="00591924" w:rsidRPr="00591924" w:rsidRDefault="00591924" w:rsidP="00591924">
      <w:pPr>
        <w:pStyle w:val="BodyTextbullets125"/>
        <w:rPr>
          <w:lang w:val="en-US"/>
        </w:rPr>
      </w:pPr>
      <w:r w:rsidRPr="00591924">
        <w:rPr>
          <w:lang w:val="en-US"/>
        </w:rPr>
        <w:t>Additional sewer pipe depth to service external lands in accordance with a City approved Master Environmental Servicing Plan or the South-East Galt Community Plan.</w:t>
      </w:r>
    </w:p>
    <w:p w14:paraId="6DE1F2C4" w14:textId="77777777" w:rsidR="00591924" w:rsidRPr="00591924" w:rsidRDefault="00591924" w:rsidP="00F43901">
      <w:pPr>
        <w:pStyle w:val="BodyText125"/>
        <w:numPr>
          <w:ilvl w:val="1"/>
          <w:numId w:val="28"/>
        </w:numPr>
        <w:ind w:left="567" w:hanging="501"/>
        <w:rPr>
          <w:bCs/>
          <w:lang w:val="en-US"/>
        </w:rPr>
      </w:pPr>
      <w:r w:rsidRPr="00591924">
        <w:rPr>
          <w:bCs/>
          <w:lang w:val="en-US"/>
        </w:rPr>
        <w:t>Pumping Stations and Forcemains</w:t>
      </w:r>
    </w:p>
    <w:p w14:paraId="102B401E" w14:textId="77777777" w:rsidR="00591924" w:rsidRPr="00591924" w:rsidRDefault="00591924" w:rsidP="00591924">
      <w:pPr>
        <w:pStyle w:val="BodyText125"/>
        <w:rPr>
          <w:bCs/>
          <w:lang w:val="en-US"/>
        </w:rPr>
      </w:pPr>
      <w:r w:rsidRPr="00591924">
        <w:rPr>
          <w:bCs/>
          <w:lang w:val="en-US"/>
        </w:rPr>
        <w:t>The costs of the following will be direct developer responsibilities as a local service:</w:t>
      </w:r>
    </w:p>
    <w:p w14:paraId="66477C90" w14:textId="3E369182" w:rsidR="00591924" w:rsidRPr="00591924" w:rsidRDefault="00591924" w:rsidP="00591924">
      <w:pPr>
        <w:pStyle w:val="BodyTextbullets125"/>
        <w:rPr>
          <w:lang w:val="en-US"/>
        </w:rPr>
      </w:pPr>
      <w:r w:rsidRPr="00591924">
        <w:rPr>
          <w:lang w:val="en-US"/>
        </w:rPr>
        <w:t xml:space="preserve">Construction of temporary or permanent water booster station or reservoir pumping stations servicing individual new developments or redevelopments; </w:t>
      </w:r>
    </w:p>
    <w:p w14:paraId="5F828CF5" w14:textId="77777777" w:rsidR="00591924" w:rsidRPr="00591924" w:rsidRDefault="00591924" w:rsidP="00591924">
      <w:pPr>
        <w:pStyle w:val="BodyTextbullets125"/>
        <w:rPr>
          <w:lang w:val="en-US"/>
        </w:rPr>
      </w:pPr>
      <w:r w:rsidRPr="00591924">
        <w:rPr>
          <w:lang w:val="en-US"/>
        </w:rPr>
        <w:t xml:space="preserve">Construction of sanitary pumping stations and forcemains serving individual new developments and redevelopments; </w:t>
      </w:r>
    </w:p>
    <w:p w14:paraId="2E667B61" w14:textId="77777777" w:rsidR="00591924" w:rsidRPr="00591924" w:rsidRDefault="00591924" w:rsidP="00591924">
      <w:pPr>
        <w:pStyle w:val="BodyTextbullets125"/>
        <w:rPr>
          <w:lang w:val="en-US"/>
        </w:rPr>
      </w:pPr>
      <w:r w:rsidRPr="00591924">
        <w:rPr>
          <w:lang w:val="en-US"/>
        </w:rPr>
        <w:t>Dedication of all lands required for pumping stations, including any lands deemed necessary by the City to provide adequate buffering; and</w:t>
      </w:r>
    </w:p>
    <w:p w14:paraId="2C98130E" w14:textId="77777777" w:rsidR="00591924" w:rsidRPr="00591924" w:rsidRDefault="00591924" w:rsidP="00591924">
      <w:pPr>
        <w:pStyle w:val="BodyTextbullets125"/>
        <w:rPr>
          <w:lang w:val="en-US"/>
        </w:rPr>
      </w:pPr>
      <w:r w:rsidRPr="00591924">
        <w:rPr>
          <w:lang w:val="en-US"/>
        </w:rPr>
        <w:t>Upgrades or expansions to existing pumping stations and forcemains to provide capacity for individual new developments or redevelopments.</w:t>
      </w:r>
    </w:p>
    <w:p w14:paraId="611FB941" w14:textId="77777777" w:rsidR="00591924" w:rsidRPr="00591924" w:rsidRDefault="00591924" w:rsidP="00591924">
      <w:pPr>
        <w:pStyle w:val="BodyText125"/>
        <w:rPr>
          <w:bCs/>
          <w:lang w:val="en-US"/>
        </w:rPr>
      </w:pPr>
      <w:r w:rsidRPr="00591924">
        <w:rPr>
          <w:bCs/>
          <w:lang w:val="en-US"/>
        </w:rPr>
        <w:t>The costs of the following shall be payable through development charges:</w:t>
      </w:r>
    </w:p>
    <w:p w14:paraId="1912E329" w14:textId="77777777" w:rsidR="00591924" w:rsidRPr="00591924" w:rsidRDefault="00591924" w:rsidP="00591924">
      <w:pPr>
        <w:pStyle w:val="BodyTextbullets125"/>
        <w:rPr>
          <w:lang w:val="en-US"/>
        </w:rPr>
      </w:pPr>
      <w:r w:rsidRPr="00591924">
        <w:rPr>
          <w:lang w:val="en-US"/>
        </w:rPr>
        <w:t>Oversizing of pumping stations and forcemains to service external lands, in accordance with a City approved Master Environmental Servicing Plan or the South-East Galt Community Plan; and</w:t>
      </w:r>
    </w:p>
    <w:p w14:paraId="56F70368" w14:textId="04A148A1" w:rsidR="000D5835" w:rsidRPr="00591924" w:rsidRDefault="00591924" w:rsidP="00591924">
      <w:pPr>
        <w:pStyle w:val="BodyTextbullets125"/>
      </w:pPr>
      <w:r w:rsidRPr="00591924">
        <w:rPr>
          <w:lang w:val="en-US"/>
        </w:rPr>
        <w:t>Oversizing of upgrades or expansions to existing pumping stations and forcemains to service external lands.</w:t>
      </w:r>
    </w:p>
    <w:p w14:paraId="0ED2A218" w14:textId="77777777" w:rsidR="000D5835" w:rsidRPr="000D5835" w:rsidRDefault="000D5835" w:rsidP="000D5835">
      <w:pPr>
        <w:pStyle w:val="BodyText125"/>
      </w:pPr>
    </w:p>
    <w:p w14:paraId="548DB659" w14:textId="77777777" w:rsidR="000D5835" w:rsidRPr="00776284" w:rsidRDefault="000D5835" w:rsidP="00776284">
      <w:pPr>
        <w:pStyle w:val="BodyText125"/>
      </w:pPr>
    </w:p>
    <w:p w14:paraId="4BF48C6D" w14:textId="77777777" w:rsidR="00776284" w:rsidRDefault="00776284" w:rsidP="00B169EA">
      <w:pPr>
        <w:pStyle w:val="BodyText125"/>
      </w:pPr>
    </w:p>
    <w:p w14:paraId="155220B4" w14:textId="77777777" w:rsidR="00776284" w:rsidRDefault="00776284" w:rsidP="00B169EA">
      <w:pPr>
        <w:pStyle w:val="BodyText125"/>
      </w:pPr>
    </w:p>
    <w:p w14:paraId="19565085" w14:textId="77777777" w:rsidR="004E5C4E" w:rsidRDefault="004E5C4E" w:rsidP="00104209">
      <w:pPr>
        <w:pStyle w:val="BodyText125"/>
        <w:rPr>
          <w:szCs w:val="23"/>
        </w:rPr>
        <w:sectPr w:rsidR="004E5C4E" w:rsidSect="00CE12B2">
          <w:footerReference w:type="default" r:id="rId149"/>
          <w:footerReference w:type="first" r:id="rId150"/>
          <w:footnotePr>
            <w:numRestart w:val="eachPage"/>
          </w:footnotePr>
          <w:pgSz w:w="12240" w:h="15840" w:code="1"/>
          <w:pgMar w:top="1440" w:right="1440" w:bottom="1440" w:left="1440" w:header="432" w:footer="619" w:gutter="0"/>
          <w:cols w:space="708"/>
          <w:titlePg/>
          <w:docGrid w:linePitch="360"/>
        </w:sectPr>
      </w:pPr>
    </w:p>
    <w:p w14:paraId="1F5BC713" w14:textId="0EF0CBC0" w:rsidR="003425B6" w:rsidRDefault="003425B6" w:rsidP="003930AA">
      <w:pPr>
        <w:pStyle w:val="APPdivider"/>
        <w:sectPr w:rsidR="003425B6" w:rsidSect="00CE12B2">
          <w:footerReference w:type="default" r:id="rId151"/>
          <w:footerReference w:type="first" r:id="rId152"/>
          <w:footnotePr>
            <w:numRestart w:val="eachPage"/>
          </w:footnotePr>
          <w:pgSz w:w="12240" w:h="15840" w:code="1"/>
          <w:pgMar w:top="1440" w:right="1440" w:bottom="1440" w:left="1440" w:header="432" w:footer="619" w:gutter="0"/>
          <w:pgNumType w:start="1"/>
          <w:cols w:space="720"/>
          <w:formProt w:val="0"/>
          <w:noEndnote/>
          <w:titlePg/>
          <w:docGrid w:linePitch="326"/>
        </w:sectPr>
      </w:pPr>
      <w:bookmarkStart w:id="516" w:name="_Toc154068827"/>
      <w:r>
        <w:t xml:space="preserve">Appendix </w:t>
      </w:r>
      <w:r w:rsidR="00ED6C90">
        <w:t>F</w:t>
      </w:r>
      <w:r w:rsidR="009E2107">
        <w:tab/>
      </w:r>
      <w:r w:rsidR="00620725">
        <w:br/>
      </w:r>
      <w:r w:rsidRPr="00DC5440">
        <w:rPr>
          <w:rStyle w:val="APPDividerTitleChar"/>
          <w:color w:val="000000"/>
        </w:rPr>
        <w:t>Asset Management Plan</w:t>
      </w:r>
      <w:bookmarkEnd w:id="516"/>
      <w:r w:rsidRPr="00DC5440">
        <w:t xml:space="preserve"> </w:t>
      </w:r>
    </w:p>
    <w:p w14:paraId="1EF0E5B1" w14:textId="15E717DF" w:rsidR="00D96895" w:rsidRDefault="00C758E9" w:rsidP="00C758E9">
      <w:pPr>
        <w:pStyle w:val="APP1stpage"/>
        <w:rPr>
          <w:noProof/>
        </w:rPr>
      </w:pPr>
      <w:r>
        <w:rPr>
          <w:noProof/>
        </w:rPr>
        <w:t xml:space="preserve">Appendix </w:t>
      </w:r>
      <w:r w:rsidR="00ED6C90">
        <w:rPr>
          <w:noProof/>
        </w:rPr>
        <w:t>F</w:t>
      </w:r>
      <w:r w:rsidR="003930AA">
        <w:rPr>
          <w:noProof/>
        </w:rPr>
        <w:t xml:space="preserve">:  </w:t>
      </w:r>
      <w:r>
        <w:rPr>
          <w:noProof/>
        </w:rPr>
        <w:t>Asset Management Plan</w:t>
      </w:r>
    </w:p>
    <w:p w14:paraId="1AA87D36" w14:textId="77777777" w:rsidR="008B0147" w:rsidRDefault="008B0147" w:rsidP="008B0147">
      <w:pPr>
        <w:pStyle w:val="BodyText125"/>
      </w:pPr>
      <w:r w:rsidRPr="008B0147">
        <w:t xml:space="preserve">The recent changes to the </w:t>
      </w:r>
      <w:r w:rsidR="00806780">
        <w:t>Development Charges Act, 1997, as amended (</w:t>
      </w:r>
      <w:r w:rsidRPr="008B0147">
        <w:t>D.C.A.</w:t>
      </w:r>
      <w:r w:rsidR="00806780">
        <w:t>)</w:t>
      </w:r>
      <w:r w:rsidRPr="008B0147">
        <w:t xml:space="preserve"> (new </w:t>
      </w:r>
      <w:r w:rsidR="00E16E86">
        <w:t xml:space="preserve">subsection </w:t>
      </w:r>
      <w:r w:rsidRPr="008B0147">
        <w:t>10</w:t>
      </w:r>
      <w:r w:rsidR="00825E04">
        <w:t xml:space="preserve"> </w:t>
      </w:r>
      <w:r w:rsidRPr="008B0147">
        <w:t xml:space="preserve">(2) </w:t>
      </w:r>
      <w:r w:rsidR="00825E04">
        <w:t>(</w:t>
      </w:r>
      <w:r w:rsidRPr="008B0147">
        <w:t>c.2)</w:t>
      </w:r>
      <w:r w:rsidR="00825E04">
        <w:t>)</w:t>
      </w:r>
      <w:r w:rsidRPr="008B0147">
        <w:t xml:space="preserve"> require that the </w:t>
      </w:r>
      <w:r w:rsidR="00825E04">
        <w:t>b</w:t>
      </w:r>
      <w:r w:rsidRPr="008B0147">
        <w:t xml:space="preserve">ackground </w:t>
      </w:r>
      <w:r w:rsidR="00825E04">
        <w:t>s</w:t>
      </w:r>
      <w:r w:rsidRPr="008B0147">
        <w:t xml:space="preserve">tudy must include an asset management plan </w:t>
      </w:r>
      <w:r w:rsidR="00F713D4">
        <w:t xml:space="preserve">(A.M.P.) </w:t>
      </w:r>
      <w:r w:rsidRPr="008B0147">
        <w:t>related to new infrastructure.  Section 10</w:t>
      </w:r>
      <w:r w:rsidR="00825E04">
        <w:t xml:space="preserve"> </w:t>
      </w:r>
      <w:r w:rsidRPr="008B0147">
        <w:t>(3) of the D.C.A. provides:</w:t>
      </w:r>
    </w:p>
    <w:p w14:paraId="4CD84626" w14:textId="77777777" w:rsidR="008B0147" w:rsidRPr="008B0147" w:rsidRDefault="00825E04" w:rsidP="00825E04">
      <w:pPr>
        <w:pStyle w:val="Quote"/>
        <w:rPr>
          <w:rFonts w:eastAsiaTheme="minorHAnsi"/>
        </w:rPr>
      </w:pPr>
      <w:r>
        <w:rPr>
          <w:rFonts w:eastAsiaTheme="minorHAnsi"/>
        </w:rPr>
        <w:t>“</w:t>
      </w:r>
      <w:r w:rsidR="008B0147" w:rsidRPr="008B0147">
        <w:rPr>
          <w:rFonts w:eastAsiaTheme="minorHAnsi"/>
        </w:rPr>
        <w:t>The asset management plan shall,</w:t>
      </w:r>
    </w:p>
    <w:p w14:paraId="20080F3A" w14:textId="77777777" w:rsidR="008B0147" w:rsidRPr="008B0147" w:rsidRDefault="008B0147" w:rsidP="00F43901">
      <w:pPr>
        <w:pStyle w:val="Quote"/>
        <w:numPr>
          <w:ilvl w:val="0"/>
          <w:numId w:val="23"/>
        </w:numPr>
        <w:ind w:left="1620" w:hanging="540"/>
        <w:rPr>
          <w:rFonts w:eastAsiaTheme="minorHAnsi"/>
        </w:rPr>
      </w:pPr>
      <w:r w:rsidRPr="008B0147">
        <w:rPr>
          <w:rFonts w:eastAsiaTheme="minorHAnsi"/>
        </w:rPr>
        <w:t>deal with all assets whose capital costs are proposed to be funded under the development charge by-law;</w:t>
      </w:r>
    </w:p>
    <w:p w14:paraId="703CDB5D" w14:textId="77777777" w:rsidR="008B0147" w:rsidRPr="008B0147" w:rsidRDefault="008B0147" w:rsidP="00F43901">
      <w:pPr>
        <w:pStyle w:val="Quote"/>
        <w:numPr>
          <w:ilvl w:val="0"/>
          <w:numId w:val="23"/>
        </w:numPr>
        <w:ind w:left="1620" w:hanging="540"/>
        <w:rPr>
          <w:rFonts w:eastAsiaTheme="minorHAnsi"/>
        </w:rPr>
      </w:pPr>
      <w:r w:rsidRPr="008B0147">
        <w:rPr>
          <w:rFonts w:eastAsiaTheme="minorHAnsi"/>
        </w:rPr>
        <w:t>demonstrate that all the assets mentioned in clause (a) are financially sustainable over their full life cycle;</w:t>
      </w:r>
    </w:p>
    <w:p w14:paraId="69B880EF" w14:textId="77777777" w:rsidR="008B0147" w:rsidRPr="008B0147" w:rsidRDefault="008B0147" w:rsidP="00F43901">
      <w:pPr>
        <w:pStyle w:val="Quote"/>
        <w:numPr>
          <w:ilvl w:val="0"/>
          <w:numId w:val="23"/>
        </w:numPr>
        <w:ind w:left="1620" w:hanging="540"/>
        <w:rPr>
          <w:rFonts w:eastAsiaTheme="minorHAnsi"/>
        </w:rPr>
      </w:pPr>
      <w:r w:rsidRPr="008B0147">
        <w:rPr>
          <w:rFonts w:eastAsiaTheme="minorHAnsi"/>
        </w:rPr>
        <w:t>contain any other information that is prescribed; and</w:t>
      </w:r>
    </w:p>
    <w:p w14:paraId="66373E4B" w14:textId="77777777" w:rsidR="008B0147" w:rsidRPr="008B0147" w:rsidRDefault="008B0147" w:rsidP="00F43901">
      <w:pPr>
        <w:pStyle w:val="Quote"/>
        <w:numPr>
          <w:ilvl w:val="0"/>
          <w:numId w:val="23"/>
        </w:numPr>
        <w:ind w:left="1620" w:hanging="540"/>
        <w:rPr>
          <w:rFonts w:eastAsiaTheme="minorHAnsi"/>
        </w:rPr>
      </w:pPr>
      <w:r w:rsidRPr="008B0147">
        <w:rPr>
          <w:rFonts w:eastAsiaTheme="minorHAnsi"/>
        </w:rPr>
        <w:t>be prepared in the prescribed manner.</w:t>
      </w:r>
      <w:r w:rsidR="00825E04">
        <w:rPr>
          <w:rFonts w:eastAsiaTheme="minorHAnsi"/>
        </w:rPr>
        <w:t>”</w:t>
      </w:r>
    </w:p>
    <w:p w14:paraId="705DAB8B" w14:textId="77777777" w:rsidR="008B0147" w:rsidRPr="00D01129" w:rsidRDefault="008B0147" w:rsidP="008B0147">
      <w:pPr>
        <w:pStyle w:val="BodyText125"/>
      </w:pPr>
      <w:r w:rsidRPr="00D01129">
        <w:t xml:space="preserve">In regard to the above, </w:t>
      </w:r>
      <w:r w:rsidR="00E16E86">
        <w:t xml:space="preserve">section </w:t>
      </w:r>
      <w:r w:rsidRPr="00D01129">
        <w:t xml:space="preserve">8 of the </w:t>
      </w:r>
      <w:r w:rsidR="008205BE">
        <w:t>regulation</w:t>
      </w:r>
      <w:r w:rsidRPr="00D01129">
        <w:t>s was amended to include subsections (2), (3)</w:t>
      </w:r>
      <w:r w:rsidR="00A75231">
        <w:t>,</w:t>
      </w:r>
      <w:r w:rsidRPr="00D01129">
        <w:t xml:space="preserve"> and (4) which set out specific detailed requirements for transit (only).  For all services except transit, there are no prescribed requirements at this time</w:t>
      </w:r>
      <w:r w:rsidR="00A75231">
        <w:t>,</w:t>
      </w:r>
      <w:r w:rsidRPr="00D01129">
        <w:t xml:space="preserve"> thus requiring the municipality to define the approach to include in the </w:t>
      </w:r>
      <w:r w:rsidR="00F713D4">
        <w:t>b</w:t>
      </w:r>
      <w:r w:rsidRPr="00D01129">
        <w:t xml:space="preserve">ackground </w:t>
      </w:r>
      <w:r w:rsidR="00F713D4">
        <w:t>s</w:t>
      </w:r>
      <w:r w:rsidRPr="00D01129">
        <w:t xml:space="preserve">tudy.  </w:t>
      </w:r>
    </w:p>
    <w:p w14:paraId="548AEDB4" w14:textId="77777777" w:rsidR="008B0147" w:rsidRDefault="008B0147" w:rsidP="008B0147">
      <w:pPr>
        <w:pStyle w:val="BodyText125"/>
      </w:pPr>
      <w:r w:rsidRPr="00D01129">
        <w:t>At a broad level, the A</w:t>
      </w:r>
      <w:r w:rsidR="00F713D4">
        <w:t>.M.P.</w:t>
      </w:r>
      <w:r w:rsidRPr="00D01129">
        <w:t xml:space="preserve"> provides for the long-term investment in an asset over its entire useful life along with the funding.  The schematic below identifies the costs for an asset through its entire lifecycle.  For growth</w:t>
      </w:r>
      <w:r>
        <w:t>-</w:t>
      </w:r>
      <w:r w:rsidRPr="00D01129">
        <w:t>related works, the majority of capital costs will be funded by the</w:t>
      </w:r>
      <w:r w:rsidR="00806780">
        <w:t xml:space="preserve"> development charge (</w:t>
      </w:r>
      <w:r w:rsidRPr="00D01129">
        <w:t>D.C.</w:t>
      </w:r>
      <w:r w:rsidR="00806780">
        <w:t>).</w:t>
      </w:r>
      <w:r w:rsidRPr="00D01129">
        <w:t xml:space="preserve">  </w:t>
      </w:r>
      <w:r w:rsidR="00F713D4">
        <w:t>N</w:t>
      </w:r>
      <w:r w:rsidRPr="00D01129">
        <w:t>on</w:t>
      </w:r>
      <w:r>
        <w:t>-growth-related</w:t>
      </w:r>
      <w:r w:rsidRPr="00D01129">
        <w:t xml:space="preserve"> expenditures will then be funded from non-D.C. revenues as noted below.  During the useful life of the asset, there will be minor maintenance costs to extend the life of the asset along with additional program</w:t>
      </w:r>
      <w:r w:rsidR="00A75231">
        <w:t>-</w:t>
      </w:r>
      <w:r w:rsidRPr="00D01129">
        <w:t>related expenditures to provide the full services to the residents.  At the end of the life of the asset, it will be replaced by non-D.C. financing sources.</w:t>
      </w:r>
    </w:p>
    <w:p w14:paraId="70CDF61E" w14:textId="77777777" w:rsidR="008B0147" w:rsidRPr="00D13277" w:rsidRDefault="008B0147" w:rsidP="008B0147">
      <w:pPr>
        <w:pStyle w:val="BodyText125"/>
      </w:pPr>
      <w:r>
        <w:t xml:space="preserve">It should be noted that with the recent passing of the </w:t>
      </w:r>
      <w:r w:rsidRPr="00806780">
        <w:rPr>
          <w:i/>
          <w:iCs/>
        </w:rPr>
        <w:t>Infrastructure for Jobs and Prosperity Act</w:t>
      </w:r>
      <w:r>
        <w:t xml:space="preserve"> (I.J.P.A.) municipalities are now required to complete </w:t>
      </w:r>
      <w:r w:rsidR="00F713D4" w:rsidRPr="00D01129">
        <w:t>A</w:t>
      </w:r>
      <w:r w:rsidR="00F713D4">
        <w:t>.M.P.</w:t>
      </w:r>
      <w:r>
        <w:t xml:space="preserve">s, based on certain criteria, which are to be completed by 2021 for core municipal services and 2023 for all other services.  The amendments to the D.C.A. do not require municipalities to complete these </w:t>
      </w:r>
      <w:r w:rsidR="00F713D4" w:rsidRPr="00D01129">
        <w:t>A</w:t>
      </w:r>
      <w:r w:rsidR="00F713D4">
        <w:t>.M.P.</w:t>
      </w:r>
      <w:r>
        <w:t>s (required under I.J.P.A.) for the D.C. background study, rather the D.C.A. requires that the D.C. background study include information to show the assets to be funded by the D.C. are sustainable over their full lifecycle.</w:t>
      </w:r>
    </w:p>
    <w:p w14:paraId="2867D409" w14:textId="77777777" w:rsidR="008B0147" w:rsidRPr="00AC08E0" w:rsidRDefault="004B0310" w:rsidP="00585419">
      <w:pPr>
        <w:pStyle w:val="BodyText125"/>
        <w:jc w:val="center"/>
        <w:rPr>
          <w:highlight w:val="yellow"/>
        </w:rPr>
      </w:pPr>
      <w:r>
        <w:rPr>
          <w:noProof/>
          <w:lang w:val="en-US"/>
        </w:rPr>
        <w:object w:dxaOrig="10032" w:dyaOrig="7782" w14:anchorId="09278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hematic showing the lifecycle of assets." style="width:410.4pt;height:315.9pt" o:ole="">
            <v:imagedata r:id="rId153" o:title=""/>
          </v:shape>
          <o:OLEObject Type="Embed" ProgID="Visio.Drawing.11" ShapeID="_x0000_i1025" DrawAspect="Content" ObjectID="_1764681999" r:id="rId154"/>
        </w:object>
      </w:r>
    </w:p>
    <w:p w14:paraId="323E2FEB" w14:textId="77777777" w:rsidR="008B0147" w:rsidRPr="00D01129" w:rsidRDefault="008B0147" w:rsidP="008B0147">
      <w:pPr>
        <w:pStyle w:val="BodyText125"/>
      </w:pPr>
      <w:r w:rsidRPr="00D01129">
        <w:t xml:space="preserve">In 2012, the Province developed Building Together: </w:t>
      </w:r>
      <w:r>
        <w:t xml:space="preserve"> </w:t>
      </w:r>
      <w:r w:rsidRPr="00D01129">
        <w:t xml:space="preserve">Guide for municipal asset management plans which outlines the key elements for an </w:t>
      </w:r>
      <w:r w:rsidR="00F713D4" w:rsidRPr="00D01129">
        <w:t>A</w:t>
      </w:r>
      <w:r w:rsidR="00F713D4">
        <w:t>.M.P.</w:t>
      </w:r>
      <w:r w:rsidRPr="00D01129">
        <w:t>, as follows:</w:t>
      </w:r>
    </w:p>
    <w:p w14:paraId="16C10B43" w14:textId="77777777" w:rsidR="008B0147" w:rsidRPr="00D01129" w:rsidRDefault="008B0147" w:rsidP="008B0147">
      <w:pPr>
        <w:pStyle w:val="BodyText125"/>
      </w:pPr>
      <w:r w:rsidRPr="00D01129">
        <w:rPr>
          <w:b/>
        </w:rPr>
        <w:t>State of local infrastructure</w:t>
      </w:r>
      <w:r w:rsidRPr="00D01129">
        <w:t xml:space="preserve">: </w:t>
      </w:r>
      <w:r>
        <w:t xml:space="preserve"> </w:t>
      </w:r>
      <w:r w:rsidRPr="00D01129">
        <w:t>asset types, quantities, age, condition, financial accounting valuation and replacement cost valuation.</w:t>
      </w:r>
    </w:p>
    <w:p w14:paraId="06D9C85C" w14:textId="77777777" w:rsidR="008B0147" w:rsidRPr="00D01129" w:rsidRDefault="008B0147" w:rsidP="008B0147">
      <w:pPr>
        <w:pStyle w:val="BodyText125"/>
      </w:pPr>
      <w:r w:rsidRPr="00D01129">
        <w:rPr>
          <w:b/>
        </w:rPr>
        <w:t>Desired levels of service:</w:t>
      </w:r>
      <w:r w:rsidRPr="00D01129">
        <w:t xml:space="preserve"> </w:t>
      </w:r>
      <w:r>
        <w:t xml:space="preserve"> </w:t>
      </w:r>
      <w:r w:rsidRPr="00D01129">
        <w:t>defines levels of service through performance measures and discusses any external trends or issues that may affect expected levels of service or the municipality’s ability to meet them (for example, new accessibility standards, climate change impacts).</w:t>
      </w:r>
    </w:p>
    <w:p w14:paraId="6BE81BAE" w14:textId="77777777" w:rsidR="008B0147" w:rsidRPr="00D01129" w:rsidRDefault="008B0147" w:rsidP="008B0147">
      <w:pPr>
        <w:pStyle w:val="BodyText125"/>
      </w:pPr>
      <w:r w:rsidRPr="00D01129">
        <w:rPr>
          <w:b/>
        </w:rPr>
        <w:t xml:space="preserve">Asset management strategy: </w:t>
      </w:r>
      <w:r>
        <w:rPr>
          <w:b/>
        </w:rPr>
        <w:t xml:space="preserve"> </w:t>
      </w:r>
      <w:r w:rsidRPr="00D01129">
        <w:t>the asset management strategy is the set of planned actions that will seek to generate the desired levels of service in a sustainable way, while managing risk, at the lowest lifecycle cost.</w:t>
      </w:r>
    </w:p>
    <w:p w14:paraId="427ACD22" w14:textId="77777777" w:rsidR="008B0147" w:rsidRPr="00D01129" w:rsidRDefault="008B0147" w:rsidP="008B0147">
      <w:pPr>
        <w:pStyle w:val="BodyText125"/>
      </w:pPr>
      <w:r w:rsidRPr="00D01129">
        <w:rPr>
          <w:b/>
        </w:rPr>
        <w:t xml:space="preserve">Financing strategy: </w:t>
      </w:r>
      <w:r>
        <w:rPr>
          <w:b/>
        </w:rPr>
        <w:t xml:space="preserve"> </w:t>
      </w:r>
      <w:r w:rsidRPr="00D01129">
        <w:t>having a financial plan is critical for putting an A.M.P. into action.  By having a strong financial plan, municipalities can also demonstrate that they have made a concerted effort to integrate the A.M.P. with financial planning and municipal budgeting and are making full use of all available infrastructure financing tools.</w:t>
      </w:r>
    </w:p>
    <w:p w14:paraId="7C1C72FB" w14:textId="5122BF38" w:rsidR="008B0147" w:rsidRDefault="008B0147" w:rsidP="008B0147">
      <w:pPr>
        <w:pStyle w:val="BodyText125"/>
      </w:pPr>
      <w:r w:rsidRPr="00D01129">
        <w:t xml:space="preserve">Commensurate with the above, </w:t>
      </w:r>
      <w:r w:rsidRPr="00192149">
        <w:t xml:space="preserve">the </w:t>
      </w:r>
      <w:r w:rsidR="00A1355F" w:rsidRPr="00192149">
        <w:t>City</w:t>
      </w:r>
      <w:r w:rsidRPr="00192149">
        <w:t xml:space="preserve"> prepared</w:t>
      </w:r>
      <w:r w:rsidRPr="00D01129">
        <w:t xml:space="preserve"> an </w:t>
      </w:r>
      <w:r w:rsidR="00F713D4" w:rsidRPr="00D01129">
        <w:t>A</w:t>
      </w:r>
      <w:r w:rsidR="00F713D4">
        <w:t xml:space="preserve">.M.P. </w:t>
      </w:r>
      <w:r w:rsidRPr="00D01129">
        <w:t xml:space="preserve">in </w:t>
      </w:r>
      <w:r w:rsidR="00192149">
        <w:t>2019</w:t>
      </w:r>
      <w:r w:rsidRPr="00D01129">
        <w:t xml:space="preserve"> for it</w:t>
      </w:r>
      <w:r>
        <w:t>s existing assets</w:t>
      </w:r>
      <w:r w:rsidR="00806780">
        <w:t>;</w:t>
      </w:r>
      <w:r>
        <w:t xml:space="preserve"> however, </w:t>
      </w:r>
      <w:r w:rsidR="00806780">
        <w:t xml:space="preserve">it </w:t>
      </w:r>
      <w:r>
        <w:t>did not take into account</w:t>
      </w:r>
      <w:r w:rsidR="00192149">
        <w:t xml:space="preserve"> </w:t>
      </w:r>
      <w:r>
        <w:t>future growth-related assets.  As a result, the asset management requirement for the D.C. must be undertaken in the absence of this information.</w:t>
      </w:r>
    </w:p>
    <w:p w14:paraId="6A73FB05" w14:textId="0F352915" w:rsidR="008B0147" w:rsidRDefault="008B0147" w:rsidP="008B0147">
      <w:pPr>
        <w:pStyle w:val="BodyText125"/>
      </w:pPr>
      <w:r>
        <w:t xml:space="preserve">In recognition to the schematic above, the following table (presented in </w:t>
      </w:r>
      <w:r w:rsidR="00192149">
        <w:t>2023</w:t>
      </w:r>
      <w:r>
        <w:t xml:space="preserve"> $) has been developed to provide the annualized expenditures and revenues associated with new growth.  Note that the D.C.A. does not require an analysis of the non-D.C. capital needs or their associated operating costs so these are omitted from the table below.  As well, as all capital costs included in the D.C.</w:t>
      </w:r>
      <w:r w:rsidR="00F713D4">
        <w:t>-</w:t>
      </w:r>
      <w:r>
        <w:t xml:space="preserve">eligible capital costs are not included in the </w:t>
      </w:r>
      <w:r w:rsidR="00A1355F" w:rsidRPr="00192149">
        <w:t>City</w:t>
      </w:r>
      <w:r w:rsidRPr="00192149">
        <w:t xml:space="preserve">’s </w:t>
      </w:r>
      <w:r w:rsidR="00F713D4" w:rsidRPr="00192149">
        <w:t>A.M</w:t>
      </w:r>
      <w:r w:rsidR="00F713D4">
        <w:t>.P.</w:t>
      </w:r>
      <w:r>
        <w:t>, the present infrastructure gap and associated funding plan have not been considered at this time.  Hence the following does not represent a fiscal impact assessment (including future tax/rate increases) but provides insight into the potential affordability of the new assets:</w:t>
      </w:r>
    </w:p>
    <w:p w14:paraId="7E71E81F" w14:textId="77777777" w:rsidR="008B0147" w:rsidRDefault="008B0147" w:rsidP="00F43901">
      <w:pPr>
        <w:pStyle w:val="BodyText125"/>
        <w:numPr>
          <w:ilvl w:val="0"/>
          <w:numId w:val="21"/>
        </w:numPr>
      </w:pPr>
      <w:r>
        <w:t>The non-D.C. recoverable portion of the projects</w:t>
      </w:r>
      <w:r w:rsidR="00A75231">
        <w:t xml:space="preserve"> that</w:t>
      </w:r>
      <w:r>
        <w:t xml:space="preserve"> will require financing from </w:t>
      </w:r>
      <w:r w:rsidR="009C6C71">
        <w:t xml:space="preserve">municipal </w:t>
      </w:r>
      <w:r>
        <w:t>financial resources (i.e. taxation, rates, fees, etc.).  This amount has been presented on an annual debt charge amount based on 20-year financing.</w:t>
      </w:r>
    </w:p>
    <w:p w14:paraId="72E2F062" w14:textId="57D49D4E" w:rsidR="008B0147" w:rsidRPr="000E3C1E" w:rsidRDefault="008B0147" w:rsidP="00F43901">
      <w:pPr>
        <w:pStyle w:val="BodyText125"/>
        <w:numPr>
          <w:ilvl w:val="0"/>
          <w:numId w:val="21"/>
        </w:numPr>
      </w:pPr>
      <w:r>
        <w:t xml:space="preserve">Lifecycle costs for the </w:t>
      </w:r>
      <w:r w:rsidR="00192149">
        <w:t>2023</w:t>
      </w:r>
      <w:r>
        <w:t xml:space="preserve"> D.C. capital works have been presented based on a sinking fund basis.  The assets have </w:t>
      </w:r>
      <w:r w:rsidRPr="000E3C1E">
        <w:t>been considered over their estimated useful lives.</w:t>
      </w:r>
    </w:p>
    <w:p w14:paraId="072CDB03" w14:textId="77777777" w:rsidR="008B0147" w:rsidRPr="000E3C1E" w:rsidRDefault="008B0147" w:rsidP="00F43901">
      <w:pPr>
        <w:pStyle w:val="BodyText125"/>
        <w:numPr>
          <w:ilvl w:val="0"/>
          <w:numId w:val="21"/>
        </w:numPr>
      </w:pPr>
      <w:r w:rsidRPr="000E3C1E">
        <w:t>Incremental operating costs for the D.C. services (only) have been included.</w:t>
      </w:r>
    </w:p>
    <w:p w14:paraId="5EDABBDC" w14:textId="6DB421DE" w:rsidR="008B0147" w:rsidRPr="006D0E78" w:rsidRDefault="008B0147" w:rsidP="00F43901">
      <w:pPr>
        <w:pStyle w:val="BodyText125"/>
        <w:numPr>
          <w:ilvl w:val="0"/>
          <w:numId w:val="21"/>
        </w:numPr>
      </w:pPr>
      <w:r w:rsidRPr="00F977F3">
        <w:t>The resultant total annualized expenditures are $</w:t>
      </w:r>
      <w:r w:rsidR="00192149">
        <w:t>49</w:t>
      </w:r>
      <w:r>
        <w:t>.</w:t>
      </w:r>
      <w:r w:rsidR="00192149">
        <w:t>88</w:t>
      </w:r>
      <w:r w:rsidRPr="006D0E78">
        <w:t xml:space="preserve"> million. </w:t>
      </w:r>
    </w:p>
    <w:p w14:paraId="0865C27D" w14:textId="56D74AF6" w:rsidR="008B0147" w:rsidRPr="006D0E78" w:rsidRDefault="008B0147" w:rsidP="00F43901">
      <w:pPr>
        <w:pStyle w:val="BodyText125"/>
        <w:numPr>
          <w:ilvl w:val="0"/>
          <w:numId w:val="21"/>
        </w:numPr>
      </w:pPr>
      <w:r w:rsidRPr="006D0E78">
        <w:t>Consideration was given to the potential new taxation and user fee revenues which will be generated as a result of new growth.  These revenues will be available to finance the expenditures above.  The new operating revenues are $</w:t>
      </w:r>
      <w:r w:rsidR="00192149">
        <w:t>19.38</w:t>
      </w:r>
      <w:r>
        <w:t xml:space="preserve"> million</w:t>
      </w:r>
      <w:r w:rsidRPr="006D0E78">
        <w:t>.  This amount, totalled with the existing operating revenues of $</w:t>
      </w:r>
      <w:r w:rsidR="00192149">
        <w:t>293</w:t>
      </w:r>
      <w:r>
        <w:t>.</w:t>
      </w:r>
      <w:r w:rsidR="00192149">
        <w:t>77</w:t>
      </w:r>
      <w:r w:rsidRPr="006D0E78">
        <w:t xml:space="preserve"> million, provide annual revenues of $</w:t>
      </w:r>
      <w:r w:rsidR="00192149">
        <w:t>313</w:t>
      </w:r>
      <w:r>
        <w:t>.</w:t>
      </w:r>
      <w:r w:rsidR="00192149">
        <w:t>15</w:t>
      </w:r>
      <w:r w:rsidRPr="006D0E78">
        <w:t xml:space="preserve"> million by the end of the period. </w:t>
      </w:r>
    </w:p>
    <w:p w14:paraId="42E2E78A" w14:textId="77777777" w:rsidR="00DC5440" w:rsidRDefault="008B0147" w:rsidP="00F43901">
      <w:pPr>
        <w:pStyle w:val="BodyText125"/>
        <w:numPr>
          <w:ilvl w:val="0"/>
          <w:numId w:val="21"/>
        </w:numPr>
      </w:pPr>
      <w:r>
        <w:t>In consideration of the above, the capital plan is deemed to be financially sustainable.</w:t>
      </w:r>
    </w:p>
    <w:p w14:paraId="15D96078" w14:textId="5C544AFB" w:rsidR="008B0147" w:rsidRPr="00192149" w:rsidRDefault="00A1355F" w:rsidP="008B0147">
      <w:pPr>
        <w:pStyle w:val="FigureTableTitles"/>
        <w:rPr>
          <w:noProof/>
          <w:lang w:val="en-US"/>
        </w:rPr>
      </w:pPr>
      <w:r w:rsidRPr="00192149">
        <w:rPr>
          <w:noProof/>
          <w:lang w:val="en-US"/>
        </w:rPr>
        <w:t>City</w:t>
      </w:r>
      <w:r w:rsidR="008B0147" w:rsidRPr="00192149">
        <w:rPr>
          <w:noProof/>
          <w:lang w:val="en-US"/>
        </w:rPr>
        <w:t xml:space="preserve"> of </w:t>
      </w:r>
      <w:r w:rsidRPr="00192149">
        <w:rPr>
          <w:noProof/>
          <w:lang w:val="en-US"/>
        </w:rPr>
        <w:t>Cambridge</w:t>
      </w:r>
    </w:p>
    <w:p w14:paraId="4F568C12" w14:textId="77777777" w:rsidR="008B0147" w:rsidRPr="00192149" w:rsidRDefault="008B0147" w:rsidP="008B0147">
      <w:pPr>
        <w:pStyle w:val="FigureTableTitles"/>
        <w:rPr>
          <w:noProof/>
          <w:lang w:val="en-US"/>
        </w:rPr>
      </w:pPr>
      <w:r w:rsidRPr="00192149">
        <w:rPr>
          <w:noProof/>
          <w:lang w:val="en-US"/>
        </w:rPr>
        <w:t>Asset Management – Future Expenditures and Associated Revenues</w:t>
      </w:r>
    </w:p>
    <w:p w14:paraId="46487C62" w14:textId="7AD57ACD" w:rsidR="008B0147" w:rsidRDefault="00192149" w:rsidP="008B0147">
      <w:pPr>
        <w:pStyle w:val="FigureTableTitles"/>
        <w:rPr>
          <w:noProof/>
          <w:lang w:val="en-US"/>
        </w:rPr>
      </w:pPr>
      <w:r w:rsidRPr="00192149">
        <w:rPr>
          <w:noProof/>
          <w:lang w:val="en-US"/>
        </w:rPr>
        <w:t>2023</w:t>
      </w:r>
      <w:r w:rsidR="008B0147" w:rsidRPr="00192149">
        <w:rPr>
          <w:noProof/>
          <w:lang w:val="en-US"/>
        </w:rPr>
        <w:t>$</w:t>
      </w:r>
    </w:p>
    <w:p w14:paraId="65D8A061" w14:textId="77405131" w:rsidR="004E5C4E" w:rsidRDefault="00692EA4" w:rsidP="008B0147">
      <w:pPr>
        <w:pStyle w:val="BodyText125"/>
        <w:jc w:val="center"/>
        <w:sectPr w:rsidR="004E5C4E" w:rsidSect="00095E6C">
          <w:footnotePr>
            <w:numRestart w:val="eachPage"/>
          </w:footnotePr>
          <w:pgSz w:w="12240" w:h="15840" w:code="1"/>
          <w:pgMar w:top="1440" w:right="1440" w:bottom="1440" w:left="1440" w:header="432" w:footer="619" w:gutter="0"/>
          <w:cols w:space="720"/>
          <w:formProt w:val="0"/>
          <w:noEndnote/>
          <w:titlePg/>
          <w:docGrid w:linePitch="326"/>
        </w:sectPr>
      </w:pPr>
      <w:r w:rsidRPr="00692EA4">
        <w:rPr>
          <w:noProof/>
        </w:rPr>
        <w:drawing>
          <wp:inline distT="0" distB="0" distL="0" distR="0" wp14:anchorId="60A52420" wp14:editId="2FFABB96">
            <wp:extent cx="5124450" cy="2971800"/>
            <wp:effectExtent l="0" t="0" r="0" b="0"/>
            <wp:docPr id="1962225837" name="Picture 26" descr="This table is the asset management future expenditures and associated revenues in 2023 doll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25837" name="Picture 26" descr="This table is the asset management future expenditures and associated revenues in 2023 dollars.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124450" cy="2971800"/>
                    </a:xfrm>
                    <a:prstGeom prst="rect">
                      <a:avLst/>
                    </a:prstGeom>
                    <a:noFill/>
                    <a:ln>
                      <a:noFill/>
                    </a:ln>
                  </pic:spPr>
                </pic:pic>
              </a:graphicData>
            </a:graphic>
          </wp:inline>
        </w:drawing>
      </w:r>
    </w:p>
    <w:p w14:paraId="428D8ED7" w14:textId="0EAD6A2B" w:rsidR="003425B6" w:rsidRDefault="003425B6" w:rsidP="003930AA">
      <w:pPr>
        <w:pStyle w:val="APPdivider"/>
        <w:sectPr w:rsidR="003425B6" w:rsidSect="00CE12B2">
          <w:footerReference w:type="default" r:id="rId156"/>
          <w:footerReference w:type="first" r:id="rId157"/>
          <w:footnotePr>
            <w:numRestart w:val="eachPage"/>
          </w:footnotePr>
          <w:pgSz w:w="12240" w:h="15840" w:code="1"/>
          <w:pgMar w:top="1440" w:right="1440" w:bottom="1440" w:left="1440" w:header="432" w:footer="619" w:gutter="0"/>
          <w:pgNumType w:start="1"/>
          <w:cols w:space="708"/>
          <w:titlePg/>
          <w:docGrid w:linePitch="360"/>
        </w:sectPr>
      </w:pPr>
      <w:bookmarkStart w:id="517" w:name="_Toc154068828"/>
      <w:r>
        <w:t xml:space="preserve">Appendix </w:t>
      </w:r>
      <w:r w:rsidR="00ED6C90">
        <w:t>G</w:t>
      </w:r>
      <w:r w:rsidR="009E2107">
        <w:tab/>
      </w:r>
      <w:r w:rsidR="00620725">
        <w:br/>
      </w:r>
      <w:r w:rsidRPr="00DC5440">
        <w:rPr>
          <w:rStyle w:val="APPDividerTitleChar"/>
          <w:color w:val="000000"/>
        </w:rPr>
        <w:t>Proposed D.C. By-law</w:t>
      </w:r>
      <w:r w:rsidR="00AF3F46">
        <w:rPr>
          <w:rStyle w:val="APPDividerTitleChar"/>
          <w:color w:val="000000"/>
        </w:rPr>
        <w:t>s</w:t>
      </w:r>
      <w:bookmarkEnd w:id="517"/>
      <w:r w:rsidRPr="00DC5440">
        <w:t xml:space="preserve"> </w:t>
      </w:r>
    </w:p>
    <w:p w14:paraId="4BADB3A2" w14:textId="19132555" w:rsidR="00BD4EF2" w:rsidRDefault="00BD4EF2" w:rsidP="003425B6">
      <w:pPr>
        <w:pStyle w:val="APP1stpage"/>
      </w:pPr>
      <w:r w:rsidRPr="00194B3A">
        <w:t xml:space="preserve">Appendix </w:t>
      </w:r>
      <w:r w:rsidR="00ED6C90">
        <w:t>G</w:t>
      </w:r>
      <w:r w:rsidR="003930AA">
        <w:t xml:space="preserve">:  </w:t>
      </w:r>
      <w:r w:rsidRPr="00194B3A">
        <w:t>Proposed D.C. By-law</w:t>
      </w:r>
      <w:r w:rsidR="00AF3F46">
        <w:t>s</w:t>
      </w:r>
    </w:p>
    <w:p w14:paraId="2B08A6ED" w14:textId="6126202E" w:rsidR="00AF3F46" w:rsidRPr="00174968" w:rsidRDefault="00AF3F46" w:rsidP="003425B6">
      <w:pPr>
        <w:pStyle w:val="APP1stpage"/>
      </w:pPr>
      <w:r>
        <w:t>(Provided under separate cover)</w:t>
      </w:r>
    </w:p>
    <w:sectPr w:rsidR="00AF3F46" w:rsidRPr="00174968" w:rsidSect="00095E6C">
      <w:footnotePr>
        <w:numRestart w:val="eachPage"/>
      </w:footnotePr>
      <w:pgSz w:w="12240" w:h="15840" w:code="1"/>
      <w:pgMar w:top="1440" w:right="1440" w:bottom="1440" w:left="1440" w:header="432" w:footer="6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4C582" w14:textId="77777777" w:rsidR="000B6D7C" w:rsidRDefault="000B6D7C" w:rsidP="00427ADB">
      <w:r>
        <w:separator/>
      </w:r>
    </w:p>
  </w:endnote>
  <w:endnote w:type="continuationSeparator" w:id="0">
    <w:p w14:paraId="7DB2CB9A" w14:textId="77777777" w:rsidR="000B6D7C" w:rsidRDefault="000B6D7C" w:rsidP="00427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auto"/>
    <w:pitch w:val="variable"/>
    <w:sig w:usb0="60000287" w:usb1="00000001" w:usb2="00000000" w:usb3="00000000" w:csb0="0000019F" w:csb1="00000000"/>
  </w:font>
  <w:font w:name="Lucida Grande">
    <w:altName w:val="Segoe UI"/>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5FF9" w14:textId="491C6501" w:rsidR="00D931C2" w:rsidRPr="00240FBF" w:rsidRDefault="001E2D51" w:rsidP="008428AC">
    <w:pPr>
      <w:pStyle w:val="Footer"/>
      <w:rPr>
        <w:sz w:val="12"/>
        <w:szCs w:val="12"/>
      </w:rPr>
    </w:pPr>
    <w:r>
      <w:rPr>
        <w:noProof/>
      </w:rPr>
      <mc:AlternateContent>
        <mc:Choice Requires="wps">
          <w:drawing>
            <wp:inline distT="0" distB="0" distL="0" distR="0" wp14:anchorId="6182A7D3" wp14:editId="4C0724D2">
              <wp:extent cx="7818755" cy="1387475"/>
              <wp:effectExtent l="19050" t="19050" r="20320" b="12700"/>
              <wp:docPr id="1" name="Rectangle 481" descr="Title: Background - Description: This is a shape used for background colou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8755" cy="1387475"/>
                      </a:xfrm>
                      <a:prstGeom prst="rect">
                        <a:avLst/>
                      </a:prstGeom>
                      <a:solidFill>
                        <a:schemeClr val="bg2">
                          <a:lumMod val="20000"/>
                          <a:lumOff val="80000"/>
                        </a:schemeClr>
                      </a:solidFill>
                      <a:ln w="25400">
                        <a:solidFill>
                          <a:schemeClr val="bg2">
                            <a:lumMod val="20000"/>
                            <a:lumOff val="80000"/>
                          </a:schemeClr>
                        </a:solidFill>
                        <a:miter lim="800000"/>
                        <a:headEnd/>
                        <a:tailEnd/>
                      </a:ln>
                    </wps:spPr>
                    <wps:txbx>
                      <w:txbxContent>
                        <w:p w14:paraId="23F3EA0D" w14:textId="77777777" w:rsidR="00D931C2" w:rsidRPr="00E974D1" w:rsidRDefault="00D931C2" w:rsidP="008428AC">
                          <w:pPr>
                            <w:ind w:right="1348" w:firstLine="1134"/>
                            <w:rPr>
                              <w:color w:val="425364" w:themeColor="text1"/>
                            </w:rPr>
                          </w:pPr>
                          <w:r w:rsidRPr="00E974D1">
                            <w:rPr>
                              <w:color w:val="425364" w:themeColor="text1"/>
                            </w:rPr>
                            <w:ptab w:relativeTo="margin" w:alignment="right" w:leader="none"/>
                          </w:r>
                          <w:r w:rsidRPr="00E974D1">
                            <w:rPr>
                              <w:color w:val="425364" w:themeColor="text1"/>
                            </w:rPr>
                            <w:t>Watson &amp; Associates Economists Ltd.</w:t>
                          </w:r>
                        </w:p>
                        <w:p w14:paraId="5F66BEFA" w14:textId="77777777" w:rsidR="00D931C2" w:rsidRPr="00E974D1" w:rsidRDefault="00D931C2" w:rsidP="008428AC">
                          <w:pPr>
                            <w:ind w:right="1348" w:firstLine="1134"/>
                            <w:rPr>
                              <w:color w:val="425364" w:themeColor="text1"/>
                            </w:rPr>
                          </w:pPr>
                          <w:r w:rsidRPr="00E974D1">
                            <w:rPr>
                              <w:color w:val="425364" w:themeColor="text1"/>
                            </w:rPr>
                            <w:ptab w:relativeTo="margin" w:alignment="right" w:leader="none"/>
                          </w:r>
                          <w:r w:rsidRPr="00E974D1">
                            <w:rPr>
                              <w:color w:val="425364" w:themeColor="text1"/>
                            </w:rPr>
                            <w:t>905-272-3600</w:t>
                          </w:r>
                        </w:p>
                        <w:p w14:paraId="03B956E3" w14:textId="72E2D265" w:rsidR="00D931C2" w:rsidRPr="00E974D1" w:rsidRDefault="00D931C2" w:rsidP="008428AC">
                          <w:pPr>
                            <w:ind w:right="1348" w:firstLine="1134"/>
                            <w:rPr>
                              <w:color w:val="425364" w:themeColor="text1"/>
                            </w:rPr>
                          </w:pPr>
                          <w:r w:rsidRPr="00BB4B7F">
                            <w:rPr>
                              <w:b/>
                              <w:color w:val="425364" w:themeColor="text1"/>
                            </w:rPr>
                            <w:t>December 22, 2023</w:t>
                          </w:r>
                          <w:r w:rsidRPr="00BB4B7F">
                            <w:rPr>
                              <w:color w:val="425364" w:themeColor="text1"/>
                            </w:rPr>
                            <w:ptab w:relativeTo="margin" w:alignment="right" w:leader="none"/>
                          </w:r>
                          <w:r w:rsidRPr="00BB4B7F">
                            <w:rPr>
                              <w:color w:val="425364" w:themeColor="text1"/>
                            </w:rPr>
                            <w:t>info</w:t>
                          </w:r>
                          <w:r w:rsidRPr="00E974D1">
                            <w:rPr>
                              <w:color w:val="425364" w:themeColor="text1"/>
                            </w:rPr>
                            <w:t>@watsonecon.ca</w:t>
                          </w:r>
                        </w:p>
                      </w:txbxContent>
                    </wps:txbx>
                    <wps:bodyPr rot="0" vert="horz" wrap="square" lIns="91440" tIns="45720" rIns="91440" bIns="45720" anchor="ctr" anchorCtr="0" upright="1">
                      <a:noAutofit/>
                    </wps:bodyPr>
                  </wps:wsp>
                </a:graphicData>
              </a:graphic>
            </wp:inline>
          </w:drawing>
        </mc:Choice>
        <mc:Fallback>
          <w:pict>
            <v:rect w14:anchorId="6182A7D3" id="Rectangle 481" o:spid="_x0000_s1030" alt="Title: Background - Description: This is a shape used for background colour" style="width:615.65pt;height:10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" fillcolor="#e2e2e2 [670]" strokecolor="#e2e2e2 [670]" strokeweight="2pt">
              <v:textbox>
                <w:txbxContent>
                  <w:p w14:paraId="23F3EA0D" w14:textId="77777777" w:rsidR="00D931C2" w:rsidRPr="00E974D1" w:rsidRDefault="00D931C2" w:rsidP="008428AC">
                    <w:pPr>
                      <w:ind w:right="1348" w:firstLine="1134"/>
                      <w:rPr>
                        <w:color w:val="425364" w:themeColor="text1"/>
                      </w:rPr>
                    </w:pPr>
                    <w:r w:rsidRPr="00E974D1">
                      <w:rPr>
                        <w:color w:val="425364" w:themeColor="text1"/>
                      </w:rPr>
                      <w:ptab w:relativeTo="margin" w:alignment="right" w:leader="none"/>
                    </w:r>
                    <w:r w:rsidRPr="00E974D1">
                      <w:rPr>
                        <w:color w:val="425364" w:themeColor="text1"/>
                      </w:rPr>
                      <w:t>Watson &amp; Associates Economists Ltd.</w:t>
                    </w:r>
                  </w:p>
                  <w:p w14:paraId="5F66BEFA" w14:textId="77777777" w:rsidR="00D931C2" w:rsidRPr="00E974D1" w:rsidRDefault="00D931C2" w:rsidP="008428AC">
                    <w:pPr>
                      <w:ind w:right="1348" w:firstLine="1134"/>
                      <w:rPr>
                        <w:color w:val="425364" w:themeColor="text1"/>
                      </w:rPr>
                    </w:pPr>
                    <w:r w:rsidRPr="00E974D1">
                      <w:rPr>
                        <w:color w:val="425364" w:themeColor="text1"/>
                      </w:rPr>
                      <w:ptab w:relativeTo="margin" w:alignment="right" w:leader="none"/>
                    </w:r>
                    <w:r w:rsidRPr="00E974D1">
                      <w:rPr>
                        <w:color w:val="425364" w:themeColor="text1"/>
                      </w:rPr>
                      <w:t>905-272-3600</w:t>
                    </w:r>
                  </w:p>
                  <w:p w14:paraId="03B956E3" w14:textId="72E2D265" w:rsidR="00D931C2" w:rsidRPr="00E974D1" w:rsidRDefault="00D931C2" w:rsidP="008428AC">
                    <w:pPr>
                      <w:ind w:right="1348" w:firstLine="1134"/>
                      <w:rPr>
                        <w:color w:val="425364" w:themeColor="text1"/>
                      </w:rPr>
                    </w:pPr>
                    <w:r w:rsidRPr="00BB4B7F">
                      <w:rPr>
                        <w:b/>
                        <w:color w:val="425364" w:themeColor="text1"/>
                      </w:rPr>
                      <w:t>December 22, 2023</w:t>
                    </w:r>
                    <w:r w:rsidRPr="00BB4B7F">
                      <w:rPr>
                        <w:color w:val="425364" w:themeColor="text1"/>
                      </w:rPr>
                      <w:ptab w:relativeTo="margin" w:alignment="right" w:leader="none"/>
                    </w:r>
                    <w:r w:rsidRPr="00BB4B7F">
                      <w:rPr>
                        <w:color w:val="425364" w:themeColor="text1"/>
                      </w:rPr>
                      <w:t>info</w:t>
                    </w:r>
                    <w:r w:rsidRPr="00E974D1">
                      <w:rPr>
                        <w:color w:val="425364" w:themeColor="text1"/>
                      </w:rPr>
                      <w:t>@watsonecon.ca</w:t>
                    </w:r>
                  </w:p>
                </w:txbxContent>
              </v:textbox>
              <w10:anchorlock/>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3D0F5" w14:textId="77777777" w:rsidR="00D931C2" w:rsidRPr="00095E6C" w:rsidRDefault="00D931C2" w:rsidP="00095E6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1ED76" w14:textId="77777777" w:rsidR="00D931C2" w:rsidRDefault="00D931C2" w:rsidP="00FE1C0D">
    <w:pPr>
      <w:pStyle w:val="Footer"/>
      <w:pBdr>
        <w:top w:val="single" w:sz="6" w:space="1" w:color="425364" w:themeColor="text1"/>
      </w:pBdr>
      <w:spacing w:before="240"/>
      <w:rPr>
        <w:rStyle w:val="WatsonTextinFooter"/>
      </w:rPr>
    </w:pPr>
  </w:p>
  <w:p w14:paraId="4FEF8AED" w14:textId="77777777" w:rsidR="00D931C2" w:rsidRPr="00B705A3" w:rsidRDefault="00D931C2" w:rsidP="00B7405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p>
  <w:p w14:paraId="33B195BE" w14:textId="6645540D"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C2217" w14:textId="77777777" w:rsidR="00D931C2" w:rsidRDefault="00D931C2" w:rsidP="00095E6C">
    <w:pPr>
      <w:pStyle w:val="Footer"/>
      <w:pBdr>
        <w:top w:val="single" w:sz="6" w:space="1" w:color="425364" w:themeColor="text1"/>
      </w:pBdr>
      <w:spacing w:before="240"/>
      <w:rPr>
        <w:rStyle w:val="WatsonTextinFooter"/>
      </w:rPr>
    </w:pPr>
  </w:p>
  <w:p w14:paraId="440493E9" w14:textId="77777777" w:rsidR="00D931C2" w:rsidRPr="00B705A3" w:rsidRDefault="00D931C2" w:rsidP="00095E6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p>
  <w:p w14:paraId="7EAB3D63" w14:textId="495A4BB2" w:rsidR="00D931C2" w:rsidRPr="00095E6C" w:rsidRDefault="00D931C2" w:rsidP="00095E6C">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192C" w14:textId="77777777" w:rsidR="00D931C2" w:rsidRDefault="00D931C2" w:rsidP="00F91552">
    <w:pPr>
      <w:pStyle w:val="Footer"/>
      <w:pBdr>
        <w:top w:val="single" w:sz="6" w:space="1" w:color="425364" w:themeColor="text1"/>
      </w:pBdr>
      <w:spacing w:before="240"/>
      <w:rPr>
        <w:rStyle w:val="WatsonTextinFooter"/>
      </w:rPr>
    </w:pPr>
  </w:p>
  <w:p w14:paraId="44F3B55B" w14:textId="77777777" w:rsidR="00D931C2" w:rsidRPr="00B705A3" w:rsidRDefault="00D931C2" w:rsidP="00F9155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2-1</w:t>
    </w:r>
    <w:r w:rsidRPr="00B705A3">
      <w:rPr>
        <w:rStyle w:val="BodyText125Char"/>
        <w:rFonts w:eastAsiaTheme="minorHAnsi"/>
        <w:noProof/>
        <w:sz w:val="20"/>
      </w:rPr>
      <w:fldChar w:fldCharType="end"/>
    </w:r>
  </w:p>
  <w:p w14:paraId="54812E03" w14:textId="0AC96CE1" w:rsidR="00D931C2" w:rsidRPr="00F91552" w:rsidRDefault="00D931C2" w:rsidP="00F9155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43A3" w14:textId="77777777" w:rsidR="00D931C2" w:rsidRDefault="00D931C2" w:rsidP="00F91552">
    <w:pPr>
      <w:pStyle w:val="Footer"/>
      <w:pBdr>
        <w:top w:val="single" w:sz="6" w:space="1" w:color="425364" w:themeColor="text1"/>
      </w:pBdr>
      <w:spacing w:before="240"/>
      <w:rPr>
        <w:rStyle w:val="WatsonTextinFooter"/>
      </w:rPr>
    </w:pPr>
  </w:p>
  <w:p w14:paraId="066EB62F" w14:textId="77777777" w:rsidR="00D931C2" w:rsidRPr="00B705A3" w:rsidRDefault="00D931C2" w:rsidP="00F9155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2-1</w:t>
    </w:r>
    <w:r w:rsidRPr="00B705A3">
      <w:rPr>
        <w:rStyle w:val="BodyText125Char"/>
        <w:rFonts w:eastAsiaTheme="minorHAnsi"/>
        <w:noProof/>
        <w:sz w:val="20"/>
      </w:rPr>
      <w:fldChar w:fldCharType="end"/>
    </w:r>
  </w:p>
  <w:p w14:paraId="604FE730" w14:textId="1E0F2DAA" w:rsidR="00D931C2" w:rsidRPr="00F91552" w:rsidRDefault="00D931C2" w:rsidP="00F9155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8D0E" w14:textId="77777777" w:rsidR="00D931C2" w:rsidRDefault="00D931C2" w:rsidP="00FE1C0D">
    <w:pPr>
      <w:pStyle w:val="Footer"/>
      <w:pBdr>
        <w:top w:val="single" w:sz="6" w:space="1" w:color="425364" w:themeColor="text1"/>
      </w:pBdr>
      <w:spacing w:before="240"/>
      <w:rPr>
        <w:rStyle w:val="WatsonTextinFooter"/>
      </w:rPr>
    </w:pPr>
  </w:p>
  <w:p w14:paraId="54962F39" w14:textId="77777777" w:rsidR="00D931C2" w:rsidRPr="00B705A3" w:rsidRDefault="00D931C2" w:rsidP="00B7405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209E6F15" w14:textId="084349BE"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20827" w14:textId="77777777" w:rsidR="00D931C2" w:rsidRDefault="00D931C2" w:rsidP="00F91552">
    <w:pPr>
      <w:pStyle w:val="Footer"/>
      <w:pBdr>
        <w:top w:val="single" w:sz="6" w:space="1" w:color="425364" w:themeColor="text1"/>
      </w:pBdr>
      <w:spacing w:before="240"/>
      <w:rPr>
        <w:rStyle w:val="WatsonTextinFooter"/>
      </w:rPr>
    </w:pPr>
  </w:p>
  <w:p w14:paraId="6A5F8A6B" w14:textId="77777777" w:rsidR="00D931C2" w:rsidRPr="00B705A3" w:rsidRDefault="00D931C2" w:rsidP="00F9155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6E4E2B4C" w14:textId="36730BE1" w:rsidR="00D931C2" w:rsidRPr="00F91552" w:rsidRDefault="00D931C2" w:rsidP="00F9155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A389" w14:textId="77777777" w:rsidR="00D931C2" w:rsidRDefault="00D931C2" w:rsidP="00FE1C0D">
    <w:pPr>
      <w:pStyle w:val="Footer"/>
      <w:pBdr>
        <w:top w:val="single" w:sz="6" w:space="1" w:color="425364" w:themeColor="text1"/>
      </w:pBdr>
      <w:spacing w:before="240"/>
      <w:rPr>
        <w:rStyle w:val="WatsonTextinFooter"/>
      </w:rPr>
    </w:pPr>
  </w:p>
  <w:p w14:paraId="7DEBBB72" w14:textId="77777777" w:rsidR="00D931C2" w:rsidRPr="00B705A3" w:rsidRDefault="00D931C2" w:rsidP="00B7405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vi</w:t>
    </w:r>
    <w:r w:rsidRPr="00B705A3">
      <w:rPr>
        <w:rStyle w:val="BodyText125Char"/>
        <w:rFonts w:eastAsiaTheme="minorHAnsi"/>
        <w:noProof/>
        <w:sz w:val="20"/>
      </w:rPr>
      <w:fldChar w:fldCharType="end"/>
    </w:r>
  </w:p>
  <w:p w14:paraId="57830E35" w14:textId="4887D521"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A4CD" w14:textId="77777777" w:rsidR="00D931C2" w:rsidRDefault="00D931C2" w:rsidP="00F91552">
    <w:pPr>
      <w:pStyle w:val="Footer"/>
      <w:pBdr>
        <w:top w:val="single" w:sz="6" w:space="1" w:color="425364" w:themeColor="text1"/>
      </w:pBdr>
      <w:spacing w:before="240"/>
      <w:rPr>
        <w:rStyle w:val="WatsonTextinFooter"/>
      </w:rPr>
    </w:pPr>
  </w:p>
  <w:p w14:paraId="32004688" w14:textId="77777777" w:rsidR="00D931C2" w:rsidRPr="00B705A3" w:rsidRDefault="00D931C2" w:rsidP="00F9155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2-1</w:t>
    </w:r>
    <w:r w:rsidRPr="00B705A3">
      <w:rPr>
        <w:rStyle w:val="BodyText125Char"/>
        <w:rFonts w:eastAsiaTheme="minorHAnsi"/>
        <w:noProof/>
        <w:sz w:val="20"/>
      </w:rPr>
      <w:fldChar w:fldCharType="end"/>
    </w:r>
  </w:p>
  <w:p w14:paraId="4F9EA533" w14:textId="390EA550" w:rsidR="00D931C2" w:rsidRPr="00F91552" w:rsidRDefault="00D931C2" w:rsidP="00F9155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19C3E" w14:textId="77777777" w:rsidR="00D931C2" w:rsidRDefault="00D931C2" w:rsidP="00FE1C0D">
    <w:pPr>
      <w:pStyle w:val="Footer"/>
      <w:pBdr>
        <w:top w:val="single" w:sz="6" w:space="1" w:color="425364" w:themeColor="text1"/>
      </w:pBdr>
      <w:spacing w:before="240"/>
      <w:rPr>
        <w:rStyle w:val="WatsonTextinFooter"/>
      </w:rPr>
    </w:pPr>
  </w:p>
  <w:p w14:paraId="1953D6E2" w14:textId="77777777" w:rsidR="00D931C2" w:rsidRPr="00B705A3" w:rsidRDefault="00D931C2" w:rsidP="00B7405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40676635" w14:textId="572A9E8B"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F139E" w14:textId="77777777" w:rsidR="00D931C2" w:rsidRDefault="00D931C2" w:rsidP="00512052">
    <w:pPr>
      <w:pStyle w:val="Footer"/>
      <w:pBdr>
        <w:top w:val="single" w:sz="6" w:space="1" w:color="425364" w:themeColor="text1"/>
      </w:pBdr>
      <w:spacing w:before="240"/>
      <w:rPr>
        <w:rStyle w:val="WatsonTextinFooter"/>
      </w:rPr>
    </w:pPr>
  </w:p>
  <w:p w14:paraId="4F704B18" w14:textId="77777777" w:rsidR="00D931C2" w:rsidRPr="00B705A3" w:rsidRDefault="00D931C2" w:rsidP="0051205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21FDC87D" w14:textId="12992021" w:rsidR="00D931C2" w:rsidRPr="00993DB2" w:rsidRDefault="00D931C2" w:rsidP="0051205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3710" w14:textId="77777777" w:rsidR="00D931C2" w:rsidRDefault="00D931C2" w:rsidP="00F91552">
    <w:pPr>
      <w:pStyle w:val="Footer"/>
      <w:pBdr>
        <w:top w:val="single" w:sz="6" w:space="1" w:color="425364" w:themeColor="text1"/>
      </w:pBdr>
      <w:spacing w:before="240"/>
      <w:rPr>
        <w:rStyle w:val="WatsonTextinFooter"/>
      </w:rPr>
    </w:pPr>
  </w:p>
  <w:p w14:paraId="396006BA" w14:textId="77777777" w:rsidR="00D931C2" w:rsidRPr="00B705A3" w:rsidRDefault="00D931C2" w:rsidP="00F9155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33EEE3F7" w14:textId="3E6B99BF" w:rsidR="00D931C2" w:rsidRPr="00F91552" w:rsidRDefault="00D931C2" w:rsidP="00F9155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F722" w14:textId="77777777" w:rsidR="00D931C2" w:rsidRDefault="00D931C2" w:rsidP="00FE1C0D">
    <w:pPr>
      <w:pStyle w:val="Footer"/>
      <w:pBdr>
        <w:top w:val="single" w:sz="6" w:space="1" w:color="425364" w:themeColor="text1"/>
      </w:pBdr>
      <w:spacing w:before="240"/>
      <w:rPr>
        <w:rStyle w:val="WatsonTextinFooter"/>
      </w:rPr>
    </w:pPr>
  </w:p>
  <w:p w14:paraId="2EFF8F4C" w14:textId="77777777" w:rsidR="00D931C2" w:rsidRPr="00B705A3" w:rsidRDefault="00D931C2" w:rsidP="00B7405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vi</w:t>
    </w:r>
    <w:r w:rsidRPr="00B705A3">
      <w:rPr>
        <w:rStyle w:val="BodyText125Char"/>
        <w:rFonts w:eastAsiaTheme="minorHAnsi"/>
        <w:noProof/>
        <w:sz w:val="20"/>
      </w:rPr>
      <w:fldChar w:fldCharType="end"/>
    </w:r>
  </w:p>
  <w:p w14:paraId="1D291613" w14:textId="3A10FE4E"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BE4A7" w14:textId="77777777" w:rsidR="00D931C2" w:rsidRDefault="00D931C2" w:rsidP="00F91552">
    <w:pPr>
      <w:pStyle w:val="Footer"/>
      <w:pBdr>
        <w:top w:val="single" w:sz="6" w:space="1" w:color="425364" w:themeColor="text1"/>
      </w:pBdr>
      <w:spacing w:before="240"/>
      <w:rPr>
        <w:rStyle w:val="WatsonTextinFooter"/>
      </w:rPr>
    </w:pPr>
  </w:p>
  <w:p w14:paraId="5FAFBE79" w14:textId="77777777" w:rsidR="00D931C2" w:rsidRPr="00B705A3" w:rsidRDefault="00D931C2" w:rsidP="00F9155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3-1</w:t>
    </w:r>
    <w:r w:rsidRPr="00B705A3">
      <w:rPr>
        <w:rStyle w:val="BodyText125Char"/>
        <w:rFonts w:eastAsiaTheme="minorHAnsi"/>
        <w:noProof/>
        <w:sz w:val="20"/>
      </w:rPr>
      <w:fldChar w:fldCharType="end"/>
    </w:r>
  </w:p>
  <w:p w14:paraId="742AFFB2" w14:textId="3A155A04" w:rsidR="00D931C2" w:rsidRPr="00F91552" w:rsidRDefault="00D931C2" w:rsidP="00F9155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1FC3" w14:textId="77777777" w:rsidR="00D931C2" w:rsidRDefault="00D931C2" w:rsidP="00CE12B2">
    <w:pPr>
      <w:pStyle w:val="Footer"/>
      <w:pBdr>
        <w:top w:val="single" w:sz="6" w:space="1" w:color="425364" w:themeColor="text1"/>
      </w:pBdr>
      <w:spacing w:before="240"/>
      <w:rPr>
        <w:rStyle w:val="WatsonTextinFooter"/>
      </w:rPr>
    </w:pPr>
  </w:p>
  <w:p w14:paraId="6F442772"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4-1</w:t>
    </w:r>
    <w:r w:rsidRPr="00B705A3">
      <w:rPr>
        <w:rStyle w:val="BodyText125Char"/>
        <w:rFonts w:eastAsiaTheme="minorHAnsi"/>
        <w:noProof/>
        <w:sz w:val="20"/>
      </w:rPr>
      <w:fldChar w:fldCharType="end"/>
    </w:r>
  </w:p>
  <w:p w14:paraId="24AA35AE" w14:textId="6FD87BB8"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26AC3" w14:textId="77777777" w:rsidR="00D931C2" w:rsidRDefault="00D931C2" w:rsidP="00F91552">
    <w:pPr>
      <w:pStyle w:val="Footer"/>
      <w:pBdr>
        <w:top w:val="single" w:sz="6" w:space="1" w:color="425364" w:themeColor="text1"/>
      </w:pBdr>
      <w:spacing w:before="240"/>
      <w:rPr>
        <w:rStyle w:val="WatsonTextinFooter"/>
      </w:rPr>
    </w:pPr>
  </w:p>
  <w:p w14:paraId="46F69AF9" w14:textId="77777777" w:rsidR="00D931C2" w:rsidRPr="00B705A3" w:rsidRDefault="00D931C2" w:rsidP="00F9155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7DA41E04" w14:textId="67E1329E" w:rsidR="00D931C2" w:rsidRPr="00F91552" w:rsidRDefault="00D931C2" w:rsidP="00F9155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A641C" w14:textId="77777777" w:rsidR="00D931C2" w:rsidRDefault="00D931C2" w:rsidP="00F91552">
    <w:pPr>
      <w:pStyle w:val="Footer"/>
      <w:pBdr>
        <w:top w:val="single" w:sz="6" w:space="1" w:color="425364" w:themeColor="text1"/>
      </w:pBdr>
      <w:spacing w:before="240"/>
      <w:rPr>
        <w:rStyle w:val="WatsonTextinFooter"/>
      </w:rPr>
    </w:pPr>
  </w:p>
  <w:p w14:paraId="2EFF3D9F" w14:textId="77777777" w:rsidR="00D931C2" w:rsidRPr="00B705A3" w:rsidRDefault="00D931C2" w:rsidP="00F9155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4-1</w:t>
    </w:r>
    <w:r w:rsidRPr="00B705A3">
      <w:rPr>
        <w:rStyle w:val="BodyText125Char"/>
        <w:rFonts w:eastAsiaTheme="minorHAnsi"/>
        <w:noProof/>
        <w:sz w:val="20"/>
      </w:rPr>
      <w:fldChar w:fldCharType="end"/>
    </w:r>
  </w:p>
  <w:p w14:paraId="10EBC020" w14:textId="07553257" w:rsidR="00D931C2" w:rsidRPr="00F91552" w:rsidRDefault="00D931C2" w:rsidP="00F9155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3169A" w14:textId="77777777" w:rsidR="00D931C2" w:rsidRDefault="00D931C2" w:rsidP="00B34091">
    <w:pPr>
      <w:pStyle w:val="Footer"/>
      <w:pBdr>
        <w:top w:val="single" w:sz="6" w:space="1" w:color="425364" w:themeColor="text1"/>
      </w:pBdr>
      <w:spacing w:before="240"/>
      <w:rPr>
        <w:rStyle w:val="WatsonTextinFooter"/>
      </w:rPr>
    </w:pPr>
  </w:p>
  <w:p w14:paraId="5367051C" w14:textId="77777777" w:rsidR="00D931C2" w:rsidRPr="00B705A3" w:rsidRDefault="00D931C2" w:rsidP="00B34091">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5-1</w:t>
    </w:r>
    <w:r w:rsidRPr="00B705A3">
      <w:rPr>
        <w:rStyle w:val="BodyText125Char"/>
        <w:rFonts w:eastAsiaTheme="minorHAnsi"/>
        <w:noProof/>
        <w:sz w:val="20"/>
      </w:rPr>
      <w:fldChar w:fldCharType="end"/>
    </w:r>
  </w:p>
  <w:p w14:paraId="1FFA15BA" w14:textId="3993D5D4" w:rsidR="00D931C2" w:rsidRPr="00B34091" w:rsidRDefault="00D931C2" w:rsidP="00B34091">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5B16" w14:textId="77777777" w:rsidR="00D931C2" w:rsidRDefault="00D931C2" w:rsidP="00B34091">
    <w:pPr>
      <w:pStyle w:val="Footer"/>
      <w:pBdr>
        <w:top w:val="single" w:sz="6" w:space="1" w:color="425364" w:themeColor="text1"/>
      </w:pBdr>
      <w:spacing w:before="240"/>
      <w:rPr>
        <w:rStyle w:val="WatsonTextinFooter"/>
      </w:rPr>
    </w:pPr>
  </w:p>
  <w:p w14:paraId="0291FE4A" w14:textId="77777777" w:rsidR="00D931C2" w:rsidRPr="00B705A3" w:rsidRDefault="00D931C2" w:rsidP="00B34091">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5-11</w:t>
    </w:r>
    <w:r w:rsidRPr="00B705A3">
      <w:rPr>
        <w:rStyle w:val="BodyText125Char"/>
        <w:rFonts w:eastAsiaTheme="minorHAnsi"/>
        <w:noProof/>
        <w:sz w:val="20"/>
      </w:rPr>
      <w:fldChar w:fldCharType="end"/>
    </w:r>
  </w:p>
  <w:p w14:paraId="441B5FED" w14:textId="5F5DD864" w:rsidR="00D931C2" w:rsidRPr="00B34091" w:rsidRDefault="00D931C2" w:rsidP="00B34091">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63029" w14:textId="77777777" w:rsidR="00D931C2" w:rsidRDefault="00D931C2" w:rsidP="00CE12B2">
    <w:pPr>
      <w:pStyle w:val="Footer"/>
      <w:pBdr>
        <w:top w:val="single" w:sz="6" w:space="1" w:color="425364" w:themeColor="text1"/>
      </w:pBdr>
      <w:spacing w:before="240"/>
      <w:rPr>
        <w:rStyle w:val="WatsonTextinFooter"/>
      </w:rPr>
    </w:pPr>
  </w:p>
  <w:p w14:paraId="74825A6D"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5-1</w:t>
    </w:r>
    <w:r w:rsidRPr="00B705A3">
      <w:rPr>
        <w:rStyle w:val="BodyText125Char"/>
        <w:rFonts w:eastAsiaTheme="minorHAnsi"/>
        <w:noProof/>
        <w:sz w:val="20"/>
      </w:rPr>
      <w:fldChar w:fldCharType="end"/>
    </w:r>
  </w:p>
  <w:p w14:paraId="47D3F704" w14:textId="69F4B871"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3E32" w14:textId="77777777" w:rsidR="00D931C2" w:rsidRDefault="00D931C2" w:rsidP="00CE12B2">
    <w:pPr>
      <w:pStyle w:val="Footer"/>
      <w:pBdr>
        <w:top w:val="single" w:sz="6" w:space="1" w:color="425364" w:themeColor="text1"/>
      </w:pBdr>
      <w:spacing w:before="240"/>
      <w:rPr>
        <w:rStyle w:val="WatsonTextinFooter"/>
      </w:rPr>
    </w:pPr>
  </w:p>
  <w:p w14:paraId="78E0C712"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5-1</w:t>
    </w:r>
    <w:r w:rsidRPr="00B705A3">
      <w:rPr>
        <w:rStyle w:val="BodyText125Char"/>
        <w:rFonts w:eastAsiaTheme="minorHAnsi"/>
        <w:noProof/>
        <w:sz w:val="20"/>
      </w:rPr>
      <w:fldChar w:fldCharType="end"/>
    </w:r>
  </w:p>
  <w:p w14:paraId="6242059B" w14:textId="09B7EDF2"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43C5B" w14:textId="77777777" w:rsidR="00D931C2" w:rsidRDefault="00D931C2" w:rsidP="00095E6C">
    <w:pPr>
      <w:pStyle w:val="Footer"/>
      <w:pBdr>
        <w:top w:val="single" w:sz="6" w:space="1" w:color="425364" w:themeColor="text1"/>
      </w:pBdr>
      <w:spacing w:before="240"/>
      <w:rPr>
        <w:rStyle w:val="WatsonTextinFooter"/>
      </w:rPr>
    </w:pPr>
  </w:p>
  <w:p w14:paraId="2C0C53C4" w14:textId="77777777" w:rsidR="00D931C2" w:rsidRPr="00B705A3" w:rsidRDefault="00D931C2" w:rsidP="00095E6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6FF63E79" w14:textId="151680F5" w:rsidR="00D931C2" w:rsidRPr="00095E6C" w:rsidRDefault="00D931C2" w:rsidP="00095E6C">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7B92" w14:textId="77777777" w:rsidR="00D931C2" w:rsidRDefault="00D931C2" w:rsidP="00FE1C0D">
    <w:pPr>
      <w:pStyle w:val="Footer"/>
      <w:pBdr>
        <w:top w:val="single" w:sz="6" w:space="1" w:color="425364" w:themeColor="text1"/>
      </w:pBdr>
      <w:spacing w:before="240"/>
      <w:rPr>
        <w:rStyle w:val="WatsonTextinFooter"/>
      </w:rPr>
    </w:pPr>
  </w:p>
  <w:p w14:paraId="359A859A" w14:textId="77777777" w:rsidR="00D931C2" w:rsidRPr="00B705A3" w:rsidRDefault="00D931C2" w:rsidP="00B7405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04043EA3" w14:textId="00C908CB"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E69EA" w14:textId="77777777" w:rsidR="00D931C2" w:rsidRDefault="00D931C2" w:rsidP="00CE12B2">
    <w:pPr>
      <w:pStyle w:val="Footer"/>
      <w:pBdr>
        <w:top w:val="single" w:sz="6" w:space="1" w:color="425364" w:themeColor="text1"/>
      </w:pBdr>
      <w:spacing w:before="240"/>
      <w:rPr>
        <w:rStyle w:val="WatsonTextinFooter"/>
      </w:rPr>
    </w:pPr>
  </w:p>
  <w:p w14:paraId="6061DD1E"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256CC10F" w14:textId="6340CE8C"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3F990" w14:textId="77777777" w:rsidR="00D931C2" w:rsidRDefault="00D931C2" w:rsidP="00FE1C0D">
    <w:pPr>
      <w:pStyle w:val="Footer"/>
      <w:pBdr>
        <w:top w:val="single" w:sz="6" w:space="1" w:color="425364" w:themeColor="text1"/>
      </w:pBdr>
      <w:spacing w:before="240"/>
      <w:rPr>
        <w:rStyle w:val="WatsonTextinFooter"/>
      </w:rPr>
    </w:pPr>
  </w:p>
  <w:p w14:paraId="7D0A010B" w14:textId="77777777" w:rsidR="00D931C2" w:rsidRPr="00B705A3" w:rsidRDefault="00D931C2" w:rsidP="00B7405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vi</w:t>
    </w:r>
    <w:r w:rsidRPr="00B705A3">
      <w:rPr>
        <w:rStyle w:val="BodyText125Char"/>
        <w:rFonts w:eastAsiaTheme="minorHAnsi"/>
        <w:noProof/>
        <w:sz w:val="20"/>
      </w:rPr>
      <w:fldChar w:fldCharType="end"/>
    </w:r>
  </w:p>
  <w:p w14:paraId="03D70D3E" w14:textId="77AFDADB"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E0423" w14:textId="77777777" w:rsidR="00D931C2" w:rsidRDefault="00D931C2" w:rsidP="00CE12B2">
    <w:pPr>
      <w:pStyle w:val="Footer"/>
      <w:pBdr>
        <w:top w:val="single" w:sz="6" w:space="1" w:color="425364" w:themeColor="text1"/>
      </w:pBdr>
      <w:spacing w:before="240"/>
      <w:rPr>
        <w:rStyle w:val="WatsonTextinFooter"/>
      </w:rPr>
    </w:pPr>
  </w:p>
  <w:p w14:paraId="132188A9"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6-1</w:t>
    </w:r>
    <w:r w:rsidRPr="00B705A3">
      <w:rPr>
        <w:rStyle w:val="BodyText125Char"/>
        <w:rFonts w:eastAsiaTheme="minorHAnsi"/>
        <w:noProof/>
        <w:sz w:val="20"/>
      </w:rPr>
      <w:fldChar w:fldCharType="end"/>
    </w:r>
  </w:p>
  <w:p w14:paraId="08847BFD" w14:textId="38639DD6"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D9FD4" w14:textId="77777777" w:rsidR="00D931C2" w:rsidRDefault="00D931C2" w:rsidP="00FE1C0D">
    <w:pPr>
      <w:pStyle w:val="Footer"/>
      <w:pBdr>
        <w:top w:val="single" w:sz="6" w:space="1" w:color="425364" w:themeColor="text1"/>
      </w:pBdr>
      <w:spacing w:before="240"/>
      <w:rPr>
        <w:rStyle w:val="WatsonTextinFooter"/>
      </w:rPr>
    </w:pPr>
  </w:p>
  <w:p w14:paraId="0E597171" w14:textId="77777777" w:rsidR="00D931C2" w:rsidRPr="00B705A3" w:rsidRDefault="00D931C2" w:rsidP="00B7405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1861C555" w14:textId="16AA0A01"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1670E" w14:textId="77777777" w:rsidR="00D931C2" w:rsidRDefault="00D931C2" w:rsidP="00CE12B2">
    <w:pPr>
      <w:pStyle w:val="Footer"/>
      <w:pBdr>
        <w:top w:val="single" w:sz="6" w:space="1" w:color="425364" w:themeColor="text1"/>
      </w:pBdr>
      <w:spacing w:before="240"/>
      <w:rPr>
        <w:rStyle w:val="WatsonTextinFooter"/>
      </w:rPr>
    </w:pPr>
  </w:p>
  <w:p w14:paraId="613B4C3D"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3AE8BD4B" w14:textId="262D6806"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4961" w14:textId="77777777" w:rsidR="00D931C2" w:rsidRDefault="00D931C2" w:rsidP="00FE1C0D">
    <w:pPr>
      <w:pStyle w:val="Footer"/>
      <w:pBdr>
        <w:top w:val="single" w:sz="6" w:space="1" w:color="425364" w:themeColor="text1"/>
      </w:pBdr>
      <w:spacing w:before="240"/>
      <w:rPr>
        <w:rStyle w:val="WatsonTextinFooter"/>
      </w:rPr>
    </w:pPr>
  </w:p>
  <w:p w14:paraId="346FCD1B" w14:textId="77777777" w:rsidR="00D931C2" w:rsidRPr="00B705A3" w:rsidRDefault="00D931C2" w:rsidP="00B7405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vi</w:t>
    </w:r>
    <w:r w:rsidRPr="00B705A3">
      <w:rPr>
        <w:rStyle w:val="BodyText125Char"/>
        <w:rFonts w:eastAsiaTheme="minorHAnsi"/>
        <w:noProof/>
        <w:sz w:val="20"/>
      </w:rPr>
      <w:fldChar w:fldCharType="end"/>
    </w:r>
  </w:p>
  <w:p w14:paraId="401C477F" w14:textId="0E0CBB3F"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9AFE" w14:textId="77777777" w:rsidR="00D931C2" w:rsidRDefault="00D931C2" w:rsidP="00CE12B2">
    <w:pPr>
      <w:pStyle w:val="Footer"/>
      <w:pBdr>
        <w:top w:val="single" w:sz="6" w:space="1" w:color="425364" w:themeColor="text1"/>
      </w:pBdr>
      <w:spacing w:before="240"/>
      <w:rPr>
        <w:rStyle w:val="WatsonTextinFooter"/>
      </w:rPr>
    </w:pPr>
  </w:p>
  <w:p w14:paraId="1061F631"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7-1</w:t>
    </w:r>
    <w:r w:rsidRPr="00B705A3">
      <w:rPr>
        <w:rStyle w:val="BodyText125Char"/>
        <w:rFonts w:eastAsiaTheme="minorHAnsi"/>
        <w:noProof/>
        <w:sz w:val="20"/>
      </w:rPr>
      <w:fldChar w:fldCharType="end"/>
    </w:r>
  </w:p>
  <w:p w14:paraId="192E6934" w14:textId="2EB106C7"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136BA" w14:textId="77777777" w:rsidR="00D931C2" w:rsidRDefault="00D931C2" w:rsidP="00FE1C0D">
    <w:pPr>
      <w:pStyle w:val="Footer"/>
      <w:pBdr>
        <w:top w:val="single" w:sz="6" w:space="1" w:color="425364" w:themeColor="text1"/>
      </w:pBdr>
      <w:spacing w:before="240"/>
      <w:rPr>
        <w:rStyle w:val="WatsonTextinFooter"/>
      </w:rPr>
    </w:pPr>
  </w:p>
  <w:p w14:paraId="2C8D71C9" w14:textId="77777777" w:rsidR="00D931C2" w:rsidRPr="00B705A3" w:rsidRDefault="00D931C2" w:rsidP="00B7405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4952FB4B" w14:textId="212D570E"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34007" w14:textId="77777777" w:rsidR="00D931C2" w:rsidRDefault="00D931C2" w:rsidP="00CE12B2">
    <w:pPr>
      <w:pStyle w:val="Footer"/>
      <w:pBdr>
        <w:top w:val="single" w:sz="6" w:space="1" w:color="425364" w:themeColor="text1"/>
      </w:pBdr>
      <w:spacing w:before="240"/>
      <w:rPr>
        <w:rStyle w:val="WatsonTextinFooter"/>
      </w:rPr>
    </w:pPr>
  </w:p>
  <w:p w14:paraId="74AC0C4E"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p>
  <w:p w14:paraId="0760FC48" w14:textId="132593E4"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CE39" w14:textId="77777777" w:rsidR="00D931C2" w:rsidRDefault="00D931C2" w:rsidP="00BE3F05">
    <w:pPr>
      <w:pStyle w:val="Footer"/>
      <w:spacing w:before="240" w:after="600"/>
      <w:rPr>
        <w:rStyle w:val="WatsonTextinFooter"/>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44B1" w14:textId="77777777" w:rsidR="00D931C2" w:rsidRDefault="00D931C2" w:rsidP="00FE1C0D">
    <w:pPr>
      <w:pStyle w:val="Footer"/>
      <w:pBdr>
        <w:top w:val="single" w:sz="6" w:space="1" w:color="425364" w:themeColor="text1"/>
      </w:pBdr>
      <w:spacing w:before="240"/>
      <w:rPr>
        <w:rStyle w:val="WatsonTextinFooter"/>
      </w:rPr>
    </w:pPr>
  </w:p>
  <w:p w14:paraId="2B792214" w14:textId="77777777" w:rsidR="00D931C2" w:rsidRPr="00B705A3" w:rsidRDefault="00D931C2" w:rsidP="00B7405C">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vi</w:t>
    </w:r>
    <w:r w:rsidRPr="00B705A3">
      <w:rPr>
        <w:rStyle w:val="BodyText125Char"/>
        <w:rFonts w:eastAsiaTheme="minorHAnsi"/>
        <w:noProof/>
        <w:sz w:val="20"/>
      </w:rPr>
      <w:fldChar w:fldCharType="end"/>
    </w:r>
  </w:p>
  <w:p w14:paraId="611D22B2" w14:textId="620F3F09"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50604" w14:textId="77777777" w:rsidR="00D931C2" w:rsidRDefault="00D931C2" w:rsidP="00CE12B2">
    <w:pPr>
      <w:pStyle w:val="Footer"/>
      <w:pBdr>
        <w:top w:val="single" w:sz="6" w:space="1" w:color="425364" w:themeColor="text1"/>
      </w:pBdr>
      <w:spacing w:before="240"/>
      <w:rPr>
        <w:rStyle w:val="WatsonTextinFooter"/>
      </w:rPr>
    </w:pPr>
  </w:p>
  <w:p w14:paraId="1CA4B6B9"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8-1</w:t>
    </w:r>
    <w:r w:rsidRPr="00B705A3">
      <w:rPr>
        <w:rStyle w:val="BodyText125Char"/>
        <w:rFonts w:eastAsiaTheme="minorHAnsi"/>
        <w:noProof/>
        <w:sz w:val="20"/>
      </w:rPr>
      <w:fldChar w:fldCharType="end"/>
    </w:r>
  </w:p>
  <w:p w14:paraId="7602A701" w14:textId="4B276344"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F20C" w14:textId="77777777" w:rsidR="00D931C2" w:rsidRDefault="00D931C2" w:rsidP="00BE3F05">
    <w:pPr>
      <w:pStyle w:val="Footer"/>
      <w:spacing w:before="240" w:after="600"/>
      <w:rPr>
        <w:rStyle w:val="WatsonTextinFooter"/>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F3D57" w14:textId="77777777" w:rsidR="00D931C2" w:rsidRPr="00CE12B2" w:rsidRDefault="00D931C2" w:rsidP="00CE12B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7477" w14:textId="77777777" w:rsidR="00D931C2" w:rsidRDefault="00D931C2" w:rsidP="00FE1C0D">
    <w:pPr>
      <w:pStyle w:val="Footer"/>
      <w:pBdr>
        <w:top w:val="single" w:sz="6" w:space="1" w:color="425364" w:themeColor="text1"/>
      </w:pBdr>
      <w:spacing w:before="240"/>
      <w:rPr>
        <w:rStyle w:val="WatsonTextinFooter"/>
      </w:rPr>
    </w:pPr>
  </w:p>
  <w:p w14:paraId="67CDD5D7" w14:textId="77777777" w:rsidR="00D931C2" w:rsidRPr="00B705A3" w:rsidRDefault="00D931C2" w:rsidP="00FE1C0D">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Pr>
        <w:rStyle w:val="BodyText125Char"/>
        <w:rFonts w:eastAsiaTheme="minorHAnsi"/>
        <w:sz w:val="20"/>
      </w:rPr>
      <w:t>A-</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10</w:t>
    </w:r>
    <w:r w:rsidRPr="00B705A3">
      <w:rPr>
        <w:rStyle w:val="BodyText125Char"/>
        <w:rFonts w:eastAsiaTheme="minorHAnsi"/>
        <w:noProof/>
        <w:sz w:val="20"/>
      </w:rPr>
      <w:fldChar w:fldCharType="end"/>
    </w:r>
  </w:p>
  <w:p w14:paraId="5E91866D" w14:textId="51FCF7C9"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D4036" w14:textId="77777777" w:rsidR="00D931C2" w:rsidRDefault="00D931C2" w:rsidP="00CE12B2">
    <w:pPr>
      <w:pStyle w:val="Footer"/>
      <w:pBdr>
        <w:top w:val="single" w:sz="6" w:space="1" w:color="425364" w:themeColor="text1"/>
      </w:pBdr>
      <w:spacing w:before="240"/>
      <w:rPr>
        <w:rStyle w:val="WatsonTextinFooter"/>
      </w:rPr>
    </w:pPr>
  </w:p>
  <w:p w14:paraId="54C50AB8"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Pr>
        <w:rStyle w:val="BodyText125Char"/>
        <w:rFonts w:eastAsiaTheme="minorHAnsi"/>
        <w:sz w:val="20"/>
      </w:rPr>
      <w:t>A-</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p w14:paraId="26390A0A" w14:textId="48A66D29"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A20F" w14:textId="77777777" w:rsidR="00D931C2" w:rsidRDefault="00D931C2" w:rsidP="00FE1C0D">
    <w:pPr>
      <w:pStyle w:val="Footer"/>
      <w:pBdr>
        <w:top w:val="single" w:sz="6" w:space="1" w:color="425364" w:themeColor="text1"/>
      </w:pBdr>
      <w:spacing w:before="240"/>
      <w:rPr>
        <w:rStyle w:val="WatsonTextinFooter"/>
      </w:rPr>
    </w:pPr>
  </w:p>
  <w:p w14:paraId="2A84D086" w14:textId="77777777" w:rsidR="00D931C2" w:rsidRPr="00B705A3" w:rsidRDefault="00D931C2" w:rsidP="00FE1C0D">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Pr>
        <w:rStyle w:val="BodyText125Char"/>
        <w:rFonts w:eastAsiaTheme="minorHAnsi"/>
        <w:sz w:val="20"/>
      </w:rPr>
      <w:t>B-</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10</w:t>
    </w:r>
    <w:r w:rsidRPr="00B705A3">
      <w:rPr>
        <w:rStyle w:val="BodyText125Char"/>
        <w:rFonts w:eastAsiaTheme="minorHAnsi"/>
        <w:noProof/>
        <w:sz w:val="20"/>
      </w:rPr>
      <w:fldChar w:fldCharType="end"/>
    </w:r>
  </w:p>
  <w:p w14:paraId="44406B90" w14:textId="7C587674" w:rsidR="00D931C2" w:rsidRPr="00993DB2" w:rsidRDefault="00D931C2" w:rsidP="00993D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46DF7" w14:textId="77777777" w:rsidR="00D931C2" w:rsidRDefault="00D931C2" w:rsidP="00CE12B2">
    <w:pPr>
      <w:pStyle w:val="Footer"/>
      <w:pBdr>
        <w:top w:val="single" w:sz="6" w:space="1" w:color="425364" w:themeColor="text1"/>
      </w:pBdr>
      <w:spacing w:before="240"/>
      <w:rPr>
        <w:rStyle w:val="WatsonTextinFooter"/>
      </w:rPr>
    </w:pPr>
  </w:p>
  <w:p w14:paraId="4F7B58E6"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Pr>
        <w:rStyle w:val="BodyText125Char"/>
        <w:rFonts w:eastAsiaTheme="minorHAnsi"/>
        <w:sz w:val="20"/>
      </w:rPr>
      <w:t>B-</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p w14:paraId="4A0E43EC" w14:textId="6F45A41D"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28C28" w14:textId="77777777" w:rsidR="00D931C2" w:rsidRDefault="00D931C2" w:rsidP="00FE1C0D">
    <w:pPr>
      <w:pStyle w:val="Footer"/>
      <w:pBdr>
        <w:top w:val="single" w:sz="6" w:space="1" w:color="425364" w:themeColor="text1"/>
      </w:pBdr>
      <w:spacing w:before="240"/>
      <w:rPr>
        <w:rStyle w:val="WatsonTextinFooter"/>
      </w:rPr>
    </w:pPr>
  </w:p>
  <w:p w14:paraId="3B47B3C5" w14:textId="77777777" w:rsidR="00D931C2" w:rsidRPr="00B705A3" w:rsidRDefault="00D931C2" w:rsidP="00FE1C0D">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PAGE</w:t>
    </w:r>
    <w:r>
      <w:rPr>
        <w:rStyle w:val="BodyText125Char"/>
        <w:rFonts w:eastAsiaTheme="minorHAnsi"/>
        <w:sz w:val="20"/>
      </w:rPr>
      <w:t xml:space="preserve"> C-</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10</w:t>
    </w:r>
    <w:r w:rsidRPr="00B705A3">
      <w:rPr>
        <w:rStyle w:val="BodyText125Char"/>
        <w:rFonts w:eastAsiaTheme="minorHAnsi"/>
        <w:noProof/>
        <w:sz w:val="20"/>
      </w:rPr>
      <w:fldChar w:fldCharType="end"/>
    </w:r>
  </w:p>
  <w:p w14:paraId="48C87338" w14:textId="25CF5147" w:rsidR="00D931C2" w:rsidRPr="00993DB2" w:rsidRDefault="00D931C2" w:rsidP="00FE1C0D">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877D6" w14:textId="77777777" w:rsidR="00D931C2" w:rsidRDefault="00D931C2" w:rsidP="00CE12B2">
    <w:pPr>
      <w:pStyle w:val="Footer"/>
      <w:pBdr>
        <w:top w:val="single" w:sz="6" w:space="1" w:color="425364" w:themeColor="text1"/>
      </w:pBdr>
      <w:spacing w:before="240"/>
      <w:rPr>
        <w:rStyle w:val="WatsonTextinFooter"/>
      </w:rPr>
    </w:pPr>
  </w:p>
  <w:p w14:paraId="4DCA0E4E"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PAGE</w:t>
    </w:r>
    <w:r>
      <w:rPr>
        <w:rStyle w:val="BodyText125Char"/>
        <w:rFonts w:eastAsiaTheme="minorHAnsi"/>
        <w:sz w:val="20"/>
      </w:rPr>
      <w:t xml:space="preserve"> C-</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p w14:paraId="5B939DB3" w14:textId="176878BB"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371CA" w14:textId="77777777" w:rsidR="00D931C2" w:rsidRPr="00095E6C" w:rsidRDefault="00D931C2" w:rsidP="00095E6C">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E2D0" w14:textId="77777777" w:rsidR="00D931C2" w:rsidRDefault="00D931C2" w:rsidP="00FE1C0D">
    <w:pPr>
      <w:pStyle w:val="Footer"/>
      <w:pBdr>
        <w:top w:val="single" w:sz="6" w:space="1" w:color="425364" w:themeColor="text1"/>
      </w:pBdr>
      <w:spacing w:before="240"/>
      <w:rPr>
        <w:rStyle w:val="WatsonTextinFooter"/>
      </w:rPr>
    </w:pPr>
  </w:p>
  <w:p w14:paraId="29732DCA" w14:textId="77777777" w:rsidR="00D931C2" w:rsidRPr="00B705A3" w:rsidRDefault="00D931C2" w:rsidP="00FE1C0D">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PAGE</w:t>
    </w:r>
    <w:r>
      <w:rPr>
        <w:rStyle w:val="BodyText125Char"/>
        <w:rFonts w:eastAsiaTheme="minorHAnsi"/>
        <w:sz w:val="20"/>
      </w:rPr>
      <w:t xml:space="preserve"> D-</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10</w:t>
    </w:r>
    <w:r w:rsidRPr="00B705A3">
      <w:rPr>
        <w:rStyle w:val="BodyText125Char"/>
        <w:rFonts w:eastAsiaTheme="minorHAnsi"/>
        <w:noProof/>
        <w:sz w:val="20"/>
      </w:rPr>
      <w:fldChar w:fldCharType="end"/>
    </w:r>
  </w:p>
  <w:p w14:paraId="42B06B42" w14:textId="11C4AF3D" w:rsidR="00D931C2" w:rsidRPr="00993DB2" w:rsidRDefault="00D931C2" w:rsidP="00FE1C0D">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778B" w14:textId="77777777" w:rsidR="00D931C2" w:rsidRDefault="00D931C2" w:rsidP="00CE12B2">
    <w:pPr>
      <w:pStyle w:val="Footer"/>
      <w:pBdr>
        <w:top w:val="single" w:sz="6" w:space="1" w:color="425364" w:themeColor="text1"/>
      </w:pBdr>
      <w:spacing w:before="240"/>
      <w:rPr>
        <w:rStyle w:val="WatsonTextinFooter"/>
      </w:rPr>
    </w:pPr>
  </w:p>
  <w:p w14:paraId="09F4E9A3" w14:textId="77777777"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PAGE</w:t>
    </w:r>
    <w:r>
      <w:rPr>
        <w:rStyle w:val="BodyText125Char"/>
        <w:rFonts w:eastAsiaTheme="minorHAnsi"/>
        <w:sz w:val="20"/>
      </w:rPr>
      <w:t xml:space="preserve"> D-</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p w14:paraId="13B3D966" w14:textId="68656EFB"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3B17" w14:textId="77777777" w:rsidR="00D931C2" w:rsidRDefault="00D931C2" w:rsidP="00FE1C0D">
    <w:pPr>
      <w:pStyle w:val="Footer"/>
      <w:pBdr>
        <w:top w:val="single" w:sz="6" w:space="1" w:color="425364" w:themeColor="text1"/>
      </w:pBdr>
      <w:spacing w:before="240"/>
      <w:rPr>
        <w:rStyle w:val="WatsonTextinFooter"/>
      </w:rPr>
    </w:pPr>
  </w:p>
  <w:p w14:paraId="4B6BC562" w14:textId="77777777" w:rsidR="00D931C2" w:rsidRPr="00B705A3" w:rsidRDefault="00D931C2" w:rsidP="00FE1C0D">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PAGE</w:t>
    </w:r>
    <w:r>
      <w:rPr>
        <w:rStyle w:val="BodyText125Char"/>
        <w:rFonts w:eastAsiaTheme="minorHAnsi"/>
        <w:sz w:val="20"/>
      </w:rPr>
      <w:t xml:space="preserve"> E-</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10</w:t>
    </w:r>
    <w:r w:rsidRPr="00B705A3">
      <w:rPr>
        <w:rStyle w:val="BodyText125Char"/>
        <w:rFonts w:eastAsiaTheme="minorHAnsi"/>
        <w:noProof/>
        <w:sz w:val="20"/>
      </w:rPr>
      <w:fldChar w:fldCharType="end"/>
    </w:r>
  </w:p>
  <w:p w14:paraId="00802D40" w14:textId="69E882AE" w:rsidR="00D931C2" w:rsidRPr="00993DB2" w:rsidRDefault="00D931C2" w:rsidP="00FE1C0D">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78F27" w14:textId="77777777" w:rsidR="00D931C2" w:rsidRDefault="00D931C2" w:rsidP="009E2107">
    <w:pPr>
      <w:pStyle w:val="Footer"/>
      <w:pBdr>
        <w:top w:val="single" w:sz="6" w:space="1" w:color="425364" w:themeColor="text1"/>
      </w:pBdr>
      <w:spacing w:before="240"/>
      <w:rPr>
        <w:rStyle w:val="WatsonTextinFooter"/>
      </w:rPr>
    </w:pPr>
  </w:p>
  <w:p w14:paraId="404BB62A" w14:textId="77777777" w:rsidR="00D931C2" w:rsidRPr="00B705A3" w:rsidRDefault="00D931C2" w:rsidP="009E2107">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PAGE</w:t>
    </w:r>
    <w:r>
      <w:rPr>
        <w:rStyle w:val="BodyText125Char"/>
        <w:rFonts w:eastAsiaTheme="minorHAnsi"/>
        <w:sz w:val="20"/>
      </w:rPr>
      <w:t xml:space="preserve"> E-</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p w14:paraId="339851C9" w14:textId="1094E51C" w:rsidR="00D931C2" w:rsidRPr="009E2107" w:rsidRDefault="00D931C2" w:rsidP="009E2107">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1728" w14:textId="77777777" w:rsidR="00D931C2" w:rsidRDefault="00D931C2" w:rsidP="00FE1C0D">
    <w:pPr>
      <w:pStyle w:val="Footer"/>
      <w:pBdr>
        <w:top w:val="single" w:sz="6" w:space="1" w:color="425364" w:themeColor="text1"/>
      </w:pBdr>
      <w:spacing w:before="240"/>
      <w:rPr>
        <w:rStyle w:val="WatsonTextinFooter"/>
      </w:rPr>
    </w:pPr>
  </w:p>
  <w:p w14:paraId="43EB3039" w14:textId="019575CC" w:rsidR="00D931C2" w:rsidRPr="00B705A3" w:rsidRDefault="00D931C2" w:rsidP="00FE1C0D">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PAGE</w:t>
    </w:r>
    <w:r>
      <w:rPr>
        <w:rStyle w:val="BodyText125Char"/>
        <w:rFonts w:eastAsiaTheme="minorHAnsi"/>
        <w:sz w:val="20"/>
      </w:rPr>
      <w:t xml:space="preserve"> E-</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10</w:t>
    </w:r>
    <w:r w:rsidRPr="00B705A3">
      <w:rPr>
        <w:rStyle w:val="BodyText125Char"/>
        <w:rFonts w:eastAsiaTheme="minorHAnsi"/>
        <w:noProof/>
        <w:sz w:val="20"/>
      </w:rPr>
      <w:fldChar w:fldCharType="end"/>
    </w:r>
  </w:p>
  <w:p w14:paraId="30A5DA9E" w14:textId="3E739929" w:rsidR="00D931C2" w:rsidRPr="00993DB2" w:rsidRDefault="00D931C2" w:rsidP="00FE1C0D">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4BF1" w14:textId="77777777" w:rsidR="00D931C2" w:rsidRDefault="00D931C2" w:rsidP="00CE12B2">
    <w:pPr>
      <w:pStyle w:val="Footer"/>
      <w:pBdr>
        <w:top w:val="single" w:sz="6" w:space="1" w:color="425364" w:themeColor="text1"/>
      </w:pBdr>
      <w:spacing w:before="240"/>
      <w:rPr>
        <w:rStyle w:val="WatsonTextinFooter"/>
      </w:rPr>
    </w:pPr>
  </w:p>
  <w:p w14:paraId="220122C3" w14:textId="3B680AE6"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PAGE</w:t>
    </w:r>
    <w:r>
      <w:rPr>
        <w:rStyle w:val="BodyText125Char"/>
        <w:rFonts w:eastAsiaTheme="minorHAnsi"/>
        <w:sz w:val="20"/>
      </w:rPr>
      <w:t xml:space="preserve"> E-</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p w14:paraId="209F4DE3" w14:textId="48451E72"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566E" w14:textId="77777777" w:rsidR="00D931C2" w:rsidRDefault="00D931C2" w:rsidP="002472EA">
    <w:pPr>
      <w:pStyle w:val="Footer"/>
      <w:pBdr>
        <w:top w:val="single" w:sz="6" w:space="1" w:color="425364" w:themeColor="text1"/>
      </w:pBdr>
      <w:spacing w:before="240"/>
      <w:rPr>
        <w:rStyle w:val="WatsonTextinFooter"/>
      </w:rPr>
    </w:pPr>
  </w:p>
  <w:p w14:paraId="761787A9" w14:textId="1ED1776E" w:rsidR="00D931C2" w:rsidRPr="00B705A3" w:rsidRDefault="00D931C2" w:rsidP="002472EA">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PAGE</w:t>
    </w:r>
    <w:r>
      <w:rPr>
        <w:rStyle w:val="BodyText125Char"/>
        <w:rFonts w:eastAsiaTheme="minorHAnsi"/>
        <w:sz w:val="20"/>
      </w:rPr>
      <w:t xml:space="preserve"> F-</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p w14:paraId="7FBC4617" w14:textId="0EBB2633" w:rsidR="00D931C2" w:rsidRPr="00993DB2" w:rsidRDefault="00D931C2" w:rsidP="002472EA">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785D4" w14:textId="77777777" w:rsidR="00D931C2" w:rsidRDefault="00D931C2" w:rsidP="00CE12B2">
    <w:pPr>
      <w:pStyle w:val="Footer"/>
      <w:pBdr>
        <w:top w:val="single" w:sz="6" w:space="1" w:color="425364" w:themeColor="text1"/>
      </w:pBdr>
      <w:spacing w:before="240"/>
      <w:rPr>
        <w:rStyle w:val="WatsonTextinFooter"/>
      </w:rPr>
    </w:pPr>
  </w:p>
  <w:p w14:paraId="6C660A3A" w14:textId="094C7860"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PAGE</w:t>
    </w:r>
    <w:r>
      <w:rPr>
        <w:rStyle w:val="BodyText125Char"/>
        <w:rFonts w:eastAsiaTheme="minorHAnsi"/>
        <w:sz w:val="20"/>
      </w:rPr>
      <w:t xml:space="preserve"> F-</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p w14:paraId="21A348B6" w14:textId="10009DB0"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09FF" w14:textId="77777777" w:rsidR="00D931C2" w:rsidRDefault="00D931C2" w:rsidP="002472EA">
    <w:pPr>
      <w:pStyle w:val="Footer"/>
      <w:pBdr>
        <w:top w:val="single" w:sz="6" w:space="1" w:color="425364" w:themeColor="text1"/>
      </w:pBdr>
      <w:spacing w:before="240"/>
      <w:rPr>
        <w:rStyle w:val="WatsonTextinFooter"/>
      </w:rPr>
    </w:pPr>
  </w:p>
  <w:p w14:paraId="0DA33329" w14:textId="77777777" w:rsidR="00D931C2" w:rsidRPr="00B705A3" w:rsidRDefault="00D931C2" w:rsidP="002472EA">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PAGE</w:t>
    </w:r>
    <w:r>
      <w:rPr>
        <w:rStyle w:val="BodyText125Char"/>
        <w:rFonts w:eastAsiaTheme="minorHAnsi"/>
        <w:sz w:val="20"/>
      </w:rPr>
      <w:t xml:space="preserve"> J-</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p w14:paraId="48EE7639" w14:textId="6F3C80E1" w:rsidR="00D931C2" w:rsidRPr="00993DB2" w:rsidRDefault="00D931C2" w:rsidP="002472EA">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BBA1D" w14:textId="77777777" w:rsidR="00D931C2" w:rsidRDefault="00D931C2" w:rsidP="00CE12B2">
    <w:pPr>
      <w:pStyle w:val="Footer"/>
      <w:pBdr>
        <w:top w:val="single" w:sz="6" w:space="1" w:color="425364" w:themeColor="text1"/>
      </w:pBdr>
      <w:spacing w:before="240"/>
      <w:rPr>
        <w:rStyle w:val="WatsonTextinFooter"/>
      </w:rPr>
    </w:pPr>
  </w:p>
  <w:p w14:paraId="7A8FDE72" w14:textId="3F1B901E" w:rsidR="00D931C2" w:rsidRPr="00B705A3" w:rsidRDefault="00D931C2" w:rsidP="00CE12B2">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PAGE</w:t>
    </w:r>
    <w:r>
      <w:rPr>
        <w:rStyle w:val="BodyText125Char"/>
        <w:rFonts w:eastAsiaTheme="minorHAnsi"/>
        <w:sz w:val="20"/>
      </w:rPr>
      <w:t xml:space="preserve"> G-</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w:t>
    </w:r>
    <w:r w:rsidRPr="00B705A3">
      <w:rPr>
        <w:rStyle w:val="BodyText125Char"/>
        <w:rFonts w:eastAsiaTheme="minorHAnsi"/>
        <w:noProof/>
        <w:sz w:val="20"/>
      </w:rPr>
      <w:fldChar w:fldCharType="end"/>
    </w:r>
  </w:p>
  <w:p w14:paraId="7C55BB9D" w14:textId="6B4881BE" w:rsidR="00D931C2" w:rsidRPr="00CE12B2" w:rsidRDefault="00D931C2" w:rsidP="00CE12B2">
    <w:pPr>
      <w:pStyle w:val="Footer"/>
      <w:pBdr>
        <w:top w:val="single" w:sz="6" w:space="1" w:color="425364" w:themeColor="text1"/>
      </w:pBdr>
      <w:rPr>
        <w:sz w:val="12"/>
        <w:szCs w:val="12"/>
      </w:rPr>
    </w:pPr>
    <w:r w:rsidRPr="00993DB2">
      <w:rPr>
        <w:sz w:val="12"/>
        <w:szCs w:val="12"/>
      </w:rPr>
      <w:fldChar w:fldCharType="begin"/>
    </w:r>
    <w:r w:rsidRPr="00993DB2">
      <w:rPr>
        <w:sz w:val="12"/>
        <w:szCs w:val="12"/>
      </w:rPr>
      <w:instrText xml:space="preserve"> FILENAME  \p  \* MERGEFORMAT </w:instrText>
    </w:r>
    <w:r w:rsidRPr="00993DB2">
      <w:rPr>
        <w:sz w:val="12"/>
        <w:szCs w:val="12"/>
      </w:rPr>
      <w:fldChar w:fldCharType="separate"/>
    </w:r>
    <w:r w:rsidR="00504826">
      <w:rPr>
        <w:noProof/>
        <w:sz w:val="12"/>
        <w:szCs w:val="12"/>
      </w:rPr>
      <w:t>H:\Cambridge\2023 DC and CBC\Report\Cambridge DC Report - Final.docx</w:t>
    </w:r>
    <w:r w:rsidRPr="00993DB2">
      <w:rPr>
        <w:sz w:val="12"/>
        <w:szCs w:val="1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75D4C" w14:textId="77777777" w:rsidR="00D931C2" w:rsidRDefault="00D931C2" w:rsidP="00FE1C0D">
    <w:pPr>
      <w:pStyle w:val="Footer"/>
      <w:pBdr>
        <w:top w:val="single" w:sz="6" w:space="1" w:color="425364" w:themeColor="text1"/>
      </w:pBdr>
      <w:spacing w:before="240"/>
      <w:rPr>
        <w:rStyle w:val="WatsonTextinFooter"/>
      </w:rPr>
    </w:pPr>
  </w:p>
  <w:p w14:paraId="6632FAAF" w14:textId="77777777" w:rsidR="00D931C2" w:rsidRPr="00B705A3" w:rsidRDefault="00D931C2" w:rsidP="00FE1C0D">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10</w:t>
    </w:r>
    <w:r w:rsidRPr="00B705A3">
      <w:rPr>
        <w:rStyle w:val="BodyText125Char"/>
        <w:rFonts w:eastAsiaTheme="minorHAnsi"/>
        <w:noProof/>
        <w:sz w:val="20"/>
      </w:rPr>
      <w:fldChar w:fldCharType="end"/>
    </w:r>
  </w:p>
  <w:p w14:paraId="4CC7EFC1" w14:textId="7FE4A0BA" w:rsidR="00D931C2" w:rsidRPr="00993DB2" w:rsidRDefault="00D931C2" w:rsidP="00993DB2">
    <w:pPr>
      <w:pStyle w:val="Footer"/>
      <w:pBdr>
        <w:top w:val="single" w:sz="6" w:space="1" w:color="425364" w:themeColor="text1"/>
      </w:pBdr>
      <w:rPr>
        <w:sz w:val="12"/>
        <w:szCs w:val="12"/>
      </w:rPr>
    </w:pPr>
    <w:r>
      <w:rPr>
        <w:sz w:val="12"/>
        <w:szCs w:val="12"/>
      </w:rPr>
      <w:fldChar w:fldCharType="begin"/>
    </w:r>
    <w:r>
      <w:rPr>
        <w:sz w:val="12"/>
        <w:szCs w:val="12"/>
      </w:rPr>
      <w:instrText xml:space="preserve"> FILENAME  \p  \* MERGEFORMAT </w:instrText>
    </w:r>
    <w:r>
      <w:rPr>
        <w:sz w:val="12"/>
        <w:szCs w:val="12"/>
      </w:rPr>
      <w:fldChar w:fldCharType="separate"/>
    </w:r>
    <w:r w:rsidR="00504826">
      <w:rPr>
        <w:noProof/>
        <w:sz w:val="12"/>
        <w:szCs w:val="12"/>
      </w:rPr>
      <w:t>H:\Cambridge\2023 DC and CBC\Report\Cambridge DC Report - Final.docx</w:t>
    </w:r>
    <w:r>
      <w:rPr>
        <w:sz w:val="12"/>
        <w:szCs w:val="1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4D76" w14:textId="77777777" w:rsidR="00D931C2" w:rsidRDefault="00D931C2" w:rsidP="00CC12C0">
    <w:pPr>
      <w:pStyle w:val="Footer"/>
      <w:pBdr>
        <w:top w:val="single" w:sz="6" w:space="1" w:color="425364" w:themeColor="text1"/>
      </w:pBdr>
      <w:spacing w:before="240"/>
      <w:rPr>
        <w:rStyle w:val="WatsonTextinFooter"/>
      </w:rPr>
    </w:pPr>
  </w:p>
  <w:p w14:paraId="1EDF4F35" w14:textId="77777777" w:rsidR="00D931C2" w:rsidRPr="00B705A3" w:rsidRDefault="00D931C2" w:rsidP="00CC12C0">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vii</w:t>
    </w:r>
    <w:r w:rsidRPr="00B705A3">
      <w:rPr>
        <w:rStyle w:val="BodyText125Char"/>
        <w:rFonts w:eastAsiaTheme="minorHAnsi"/>
        <w:noProof/>
        <w:sz w:val="20"/>
      </w:rPr>
      <w:fldChar w:fldCharType="end"/>
    </w:r>
  </w:p>
  <w:p w14:paraId="170024EA" w14:textId="1F155CCD" w:rsidR="00D931C2" w:rsidRPr="00CC12C0" w:rsidRDefault="00D931C2" w:rsidP="00CC12C0">
    <w:pPr>
      <w:pStyle w:val="Footer"/>
      <w:pBdr>
        <w:top w:val="single" w:sz="6" w:space="1" w:color="425364" w:themeColor="text1"/>
      </w:pBdr>
      <w:rPr>
        <w:sz w:val="12"/>
        <w:szCs w:val="12"/>
      </w:rPr>
    </w:pPr>
    <w:r>
      <w:rPr>
        <w:sz w:val="12"/>
        <w:szCs w:val="12"/>
      </w:rPr>
      <w:fldChar w:fldCharType="begin"/>
    </w:r>
    <w:r>
      <w:rPr>
        <w:sz w:val="12"/>
        <w:szCs w:val="12"/>
      </w:rPr>
      <w:instrText xml:space="preserve"> FILENAME  \p  \* MERGEFORMAT </w:instrText>
    </w:r>
    <w:r>
      <w:rPr>
        <w:sz w:val="12"/>
        <w:szCs w:val="12"/>
      </w:rPr>
      <w:fldChar w:fldCharType="separate"/>
    </w:r>
    <w:r w:rsidR="00504826">
      <w:rPr>
        <w:noProof/>
        <w:sz w:val="12"/>
        <w:szCs w:val="12"/>
      </w:rPr>
      <w:t>H:\Cambridge\2023 DC and CBC\Report\Cambridge DC Report - Final.docx</w:t>
    </w:r>
    <w:r>
      <w:rPr>
        <w:sz w:val="12"/>
        <w:szCs w:val="1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11AAF" w14:textId="77777777" w:rsidR="00D931C2" w:rsidRDefault="00D931C2" w:rsidP="00CC12C0">
    <w:pPr>
      <w:pStyle w:val="Footer"/>
      <w:pBdr>
        <w:top w:val="single" w:sz="6" w:space="1" w:color="425364" w:themeColor="text1"/>
      </w:pBdr>
      <w:spacing w:before="240"/>
      <w:rPr>
        <w:rStyle w:val="WatsonTextinFooter"/>
      </w:rPr>
    </w:pPr>
  </w:p>
  <w:p w14:paraId="68A9A601" w14:textId="638E7627" w:rsidR="00D931C2" w:rsidRPr="00B705A3" w:rsidRDefault="00D931C2" w:rsidP="00CC12C0">
    <w:pPr>
      <w:pStyle w:val="Footer"/>
      <w:pBdr>
        <w:top w:val="single" w:sz="6" w:space="1" w:color="425364" w:themeColor="text1"/>
      </w:pBdr>
      <w:spacing w:before="120"/>
      <w:rPr>
        <w:rStyle w:val="BodyText125Char"/>
        <w:rFonts w:eastAsiaTheme="minorHAnsi"/>
        <w:sz w:val="20"/>
      </w:rPr>
    </w:pPr>
    <w:r w:rsidRPr="00E85578">
      <w:rPr>
        <w:rStyle w:val="WatsonTextinFooter"/>
        <w:color w:val="425364" w:themeColor="text1"/>
      </w:rPr>
      <w:t>Watson &amp; Associates Economists Ltd.</w:t>
    </w:r>
    <w:r w:rsidRPr="00E85578">
      <w:rPr>
        <w:rStyle w:val="BodyText125Char"/>
        <w:rFonts w:eastAsiaTheme="minorHAnsi"/>
        <w:color w:val="425364" w:themeColor="text1"/>
        <w:sz w:val="20"/>
      </w:rPr>
      <w:t xml:space="preserve"> </w:t>
    </w:r>
    <w:r w:rsidRPr="00B705A3">
      <w:rPr>
        <w:rStyle w:val="BodyText125Char"/>
        <w:rFonts w:eastAsiaTheme="minorHAnsi"/>
        <w:sz w:val="20"/>
      </w:rPr>
      <w:ptab w:relativeTo="margin" w:alignment="right" w:leader="none"/>
    </w:r>
    <w:r w:rsidRPr="00B705A3">
      <w:rPr>
        <w:rStyle w:val="BodyText125Char"/>
        <w:rFonts w:eastAsiaTheme="minorHAnsi"/>
        <w:sz w:val="20"/>
      </w:rPr>
      <w:t xml:space="preserve">PAGE </w:t>
    </w:r>
    <w:r>
      <w:rPr>
        <w:rStyle w:val="BodyText125Char"/>
        <w:rFonts w:eastAsiaTheme="minorHAnsi"/>
        <w:sz w:val="20"/>
      </w:rPr>
      <w:t>vii</w:t>
    </w:r>
    <w:r w:rsidRPr="00B705A3">
      <w:rPr>
        <w:rStyle w:val="BodyText125Char"/>
        <w:rFonts w:eastAsiaTheme="minorHAnsi"/>
        <w:sz w:val="20"/>
      </w:rPr>
      <w:fldChar w:fldCharType="begin"/>
    </w:r>
    <w:r w:rsidRPr="00B705A3">
      <w:rPr>
        <w:rStyle w:val="BodyText125Char"/>
        <w:rFonts w:eastAsiaTheme="minorHAnsi"/>
        <w:sz w:val="20"/>
      </w:rPr>
      <w:instrText xml:space="preserve"> PAGE   \* MERGEFORMAT </w:instrText>
    </w:r>
    <w:r w:rsidRPr="00B705A3">
      <w:rPr>
        <w:rStyle w:val="BodyText125Char"/>
        <w:rFonts w:eastAsiaTheme="minorHAnsi"/>
        <w:sz w:val="20"/>
      </w:rPr>
      <w:fldChar w:fldCharType="separate"/>
    </w:r>
    <w:r>
      <w:rPr>
        <w:rStyle w:val="BodyText125Char"/>
        <w:rFonts w:eastAsiaTheme="minorHAnsi"/>
        <w:sz w:val="20"/>
      </w:rPr>
      <w:t>vii</w:t>
    </w:r>
    <w:r w:rsidRPr="00B705A3">
      <w:rPr>
        <w:rStyle w:val="BodyText125Char"/>
        <w:rFonts w:eastAsiaTheme="minorHAnsi"/>
        <w:noProof/>
        <w:sz w:val="20"/>
      </w:rPr>
      <w:fldChar w:fldCharType="end"/>
    </w:r>
  </w:p>
  <w:p w14:paraId="4F526D12" w14:textId="3C3CC5F1" w:rsidR="00D931C2" w:rsidRPr="00CC12C0" w:rsidRDefault="00D931C2" w:rsidP="00CC12C0">
    <w:pPr>
      <w:pStyle w:val="Footer"/>
      <w:pBdr>
        <w:top w:val="single" w:sz="6" w:space="1" w:color="425364" w:themeColor="text1"/>
      </w:pBdr>
      <w:rPr>
        <w:sz w:val="12"/>
        <w:szCs w:val="12"/>
      </w:rPr>
    </w:pPr>
    <w:r>
      <w:rPr>
        <w:sz w:val="12"/>
        <w:szCs w:val="12"/>
      </w:rPr>
      <w:fldChar w:fldCharType="begin"/>
    </w:r>
    <w:r>
      <w:rPr>
        <w:sz w:val="12"/>
        <w:szCs w:val="12"/>
      </w:rPr>
      <w:instrText xml:space="preserve"> FILENAME  \p  \* MERGEFORMAT </w:instrText>
    </w:r>
    <w:r>
      <w:rPr>
        <w:sz w:val="12"/>
        <w:szCs w:val="12"/>
      </w:rPr>
      <w:fldChar w:fldCharType="separate"/>
    </w:r>
    <w:r w:rsidR="00504826">
      <w:rPr>
        <w:noProof/>
        <w:sz w:val="12"/>
        <w:szCs w:val="12"/>
      </w:rPr>
      <w:t>H:\Cambridge\2023 DC and CBC\Report\Cambridge DC Report - Final.docx</w:t>
    </w:r>
    <w:r>
      <w:rPr>
        <w:sz w:val="12"/>
        <w:szCs w:val="1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4DC08" w14:textId="77777777" w:rsidR="00D931C2" w:rsidRDefault="00D931C2" w:rsidP="0040402C">
    <w:pPr>
      <w:pStyle w:val="Footer"/>
      <w:spacing w:before="240" w:after="600"/>
      <w:rPr>
        <w:rStyle w:val="WatsonTextinFoot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11CE6" w14:textId="77777777" w:rsidR="000B6D7C" w:rsidRDefault="000B6D7C" w:rsidP="00427ADB">
      <w:r>
        <w:separator/>
      </w:r>
    </w:p>
  </w:footnote>
  <w:footnote w:type="continuationSeparator" w:id="0">
    <w:p w14:paraId="77796586" w14:textId="77777777" w:rsidR="000B6D7C" w:rsidRDefault="000B6D7C" w:rsidP="00427ADB">
      <w:r>
        <w:continuationSeparator/>
      </w:r>
    </w:p>
  </w:footnote>
  <w:footnote w:id="1">
    <w:p w14:paraId="5361CF0D" w14:textId="77777777" w:rsidR="00D931C2" w:rsidRPr="00FD1349" w:rsidRDefault="00D931C2" w:rsidP="001658FE">
      <w:r w:rsidRPr="009677E2">
        <w:rPr>
          <w:vertAlign w:val="superscript"/>
        </w:rPr>
        <w:t>[</w:t>
      </w:r>
      <w:r w:rsidRPr="00FE49B6">
        <w:rPr>
          <w:rStyle w:val="FootnoteReference"/>
        </w:rPr>
        <w:footnoteRef/>
      </w:r>
      <w:r>
        <w:rPr>
          <w:vertAlign w:val="superscript"/>
        </w:rPr>
        <w:t>]</w:t>
      </w:r>
      <w:r w:rsidRPr="00FE49B6">
        <w:t xml:space="preserve"> The population figures used in the calculation of the </w:t>
      </w:r>
      <w:r>
        <w:t>2023</w:t>
      </w:r>
      <w:r w:rsidRPr="00FE49B6">
        <w:t xml:space="preserve"> D.C. exclude the net Census undercount, which is estimated at approximately </w:t>
      </w:r>
      <w:r>
        <w:t>3.4</w:t>
      </w:r>
      <w:r w:rsidRPr="00FE49B6">
        <w:t>%.</w:t>
      </w:r>
      <w:r>
        <w:t xml:space="preserve"> </w:t>
      </w:r>
      <w:r w:rsidRPr="00BB0EF5">
        <w:t>Population figures presented herein have been rounded.</w:t>
      </w:r>
    </w:p>
  </w:footnote>
  <w:footnote w:id="2">
    <w:p w14:paraId="6A50FC90" w14:textId="77777777" w:rsidR="00D931C2" w:rsidRPr="00312143" w:rsidRDefault="00D931C2" w:rsidP="001658FE">
      <w:r w:rsidRPr="00CC363F">
        <w:rPr>
          <w:vertAlign w:val="superscript"/>
        </w:rPr>
        <w:t>[</w:t>
      </w:r>
      <w:r w:rsidRPr="00CC363F">
        <w:rPr>
          <w:rStyle w:val="FootnoteReference"/>
          <w:color w:val="auto"/>
        </w:rPr>
        <w:footnoteRef/>
      </w:r>
      <w:r w:rsidRPr="00CC363F">
        <w:rPr>
          <w:vertAlign w:val="superscript"/>
        </w:rPr>
        <w:t>]</w:t>
      </w:r>
      <w:r w:rsidRPr="00312143">
        <w:t xml:space="preserve"> Institutional</w:t>
      </w:r>
      <w:r>
        <w:t xml:space="preserve"> population largely</w:t>
      </w:r>
      <w:r w:rsidRPr="00312143">
        <w:t xml:space="preserve"> includes special care facilities such as nursing home or residences for senior citizens.  A P.P.U. of 1.100 depicts 1-bedroom and 2-or</w:t>
      </w:r>
      <w:r>
        <w:t>-</w:t>
      </w:r>
      <w:r w:rsidRPr="00312143">
        <w:t>more</w:t>
      </w:r>
      <w:r>
        <w:t>-</w:t>
      </w:r>
      <w:r w:rsidRPr="00312143">
        <w:t>bedroom units in</w:t>
      </w:r>
      <w:r>
        <w:t xml:space="preserve"> collective households. </w:t>
      </w:r>
    </w:p>
  </w:footnote>
  <w:footnote w:id="3">
    <w:p w14:paraId="3FF60E28" w14:textId="77777777" w:rsidR="00D931C2" w:rsidRPr="00C806C7" w:rsidRDefault="00D931C2" w:rsidP="001658FE">
      <w:r w:rsidRPr="00C806C7">
        <w:rPr>
          <w:vertAlign w:val="superscript"/>
        </w:rPr>
        <w:t>[</w:t>
      </w:r>
      <w:r w:rsidRPr="00C806C7">
        <w:rPr>
          <w:rStyle w:val="FootnoteReference"/>
        </w:rPr>
        <w:footnoteRef/>
      </w:r>
      <w:r w:rsidRPr="00C806C7">
        <w:rPr>
          <w:vertAlign w:val="superscript"/>
        </w:rPr>
        <w:t>]</w:t>
      </w:r>
      <w:r w:rsidRPr="00C806C7">
        <w:t xml:space="preserve"> Change in occupancy levels for existing households occurs due to aging of the population and family life cycle changes, lower fertility rates and changing economic conditions.</w:t>
      </w:r>
    </w:p>
  </w:footnote>
  <w:footnote w:id="4">
    <w:p w14:paraId="5D89F94F" w14:textId="77777777" w:rsidR="00D931C2" w:rsidRPr="00C806C7" w:rsidRDefault="00D931C2" w:rsidP="001658FE">
      <w:r w:rsidRPr="00C806C7">
        <w:rPr>
          <w:vertAlign w:val="superscript"/>
        </w:rPr>
        <w:t>[</w:t>
      </w:r>
      <w:r w:rsidRPr="00C806C7">
        <w:rPr>
          <w:rStyle w:val="FootnoteReference"/>
        </w:rPr>
        <w:footnoteRef/>
      </w:r>
      <w:r w:rsidRPr="00C806C7">
        <w:rPr>
          <w:vertAlign w:val="superscript"/>
        </w:rPr>
        <w:t>]</w:t>
      </w:r>
      <w:r w:rsidRPr="00C806C7">
        <w:t xml:space="preserve"> 2016 employment is based on Statistics Canada 2016 Place of Work Employment dataset by Watson &amp; Associates Economists Ltd.</w:t>
      </w:r>
    </w:p>
  </w:footnote>
  <w:footnote w:id="5">
    <w:p w14:paraId="112E314E" w14:textId="77777777" w:rsidR="00D931C2" w:rsidRDefault="00D931C2" w:rsidP="001658FE">
      <w:r w:rsidRPr="00C806C7">
        <w:rPr>
          <w:vertAlign w:val="superscript"/>
        </w:rPr>
        <w:t>[</w:t>
      </w:r>
      <w:r w:rsidRPr="00C806C7">
        <w:rPr>
          <w:rStyle w:val="FootnoteReference"/>
        </w:rPr>
        <w:footnoteRef/>
      </w:r>
      <w:r w:rsidRPr="00C806C7">
        <w:rPr>
          <w:vertAlign w:val="superscript"/>
        </w:rPr>
        <w:t>]</w:t>
      </w:r>
      <w:r w:rsidRPr="00C806C7">
        <w:t xml:space="preserve"> Statistics Canada 2021 Census place of work employment data has been reviewed. The 2021 Census employment results have not been utilized due to a significant increase in work at home employment captured due to Census enumeration occurring during the provincial COVID-19 lockdown from April 1, 2021 to June 14, 2021.</w:t>
      </w:r>
    </w:p>
  </w:footnote>
  <w:footnote w:id="6">
    <w:p w14:paraId="34263C80" w14:textId="77777777" w:rsidR="00D931C2" w:rsidRPr="003F3397" w:rsidRDefault="00D931C2" w:rsidP="001658FE">
      <w:pPr>
        <w:pStyle w:val="FootnoteText"/>
      </w:pPr>
      <w:r w:rsidRPr="0006686F">
        <w:rPr>
          <w:rStyle w:val="FootnoteReference"/>
          <w:color w:val="auto"/>
        </w:rPr>
        <w:t>[</w:t>
      </w:r>
      <w:r w:rsidRPr="0006686F">
        <w:rPr>
          <w:color w:val="auto"/>
          <w:vertAlign w:val="superscript"/>
        </w:rPr>
        <w:t>2]</w:t>
      </w:r>
      <w:r w:rsidRPr="009B2B1B">
        <w:rPr>
          <w:color w:val="auto"/>
        </w:rPr>
        <w:t xml:space="preserve"> No fixed place of work is defined by Statistics Canada as "persons who do not go from home to the same workplace location at the beginning of each shift. </w:t>
      </w:r>
      <w:r>
        <w:rPr>
          <w:color w:val="auto"/>
        </w:rPr>
        <w:t xml:space="preserve"> </w:t>
      </w:r>
      <w:r w:rsidRPr="009B2B1B">
        <w:rPr>
          <w:color w:val="auto"/>
        </w:rPr>
        <w:t>Such persons include building and landscape contractors, travelling salespersons, independent truck drivers, etc.</w:t>
      </w:r>
      <w:r>
        <w:rPr>
          <w:color w:val="auto"/>
          <w:sz w:val="20"/>
          <w:szCs w:val="20"/>
        </w:rPr>
        <w:t>”</w:t>
      </w:r>
    </w:p>
  </w:footnote>
  <w:footnote w:id="7">
    <w:p w14:paraId="39EBD90F" w14:textId="37D29932" w:rsidR="00D931C2" w:rsidRDefault="00D931C2" w:rsidP="001658FE">
      <w:pPr>
        <w:pStyle w:val="FootnoteText"/>
      </w:pPr>
      <w:r w:rsidRPr="004D5DFD">
        <w:rPr>
          <w:vertAlign w:val="superscript"/>
        </w:rPr>
        <w:t>[</w:t>
      </w:r>
      <w:r w:rsidRPr="004D5DFD">
        <w:rPr>
          <w:rStyle w:val="FootnoteReference"/>
        </w:rPr>
        <w:footnoteRef/>
      </w:r>
      <w:r w:rsidRPr="004D5DFD">
        <w:rPr>
          <w:vertAlign w:val="superscript"/>
        </w:rPr>
        <w:t>]</w:t>
      </w:r>
      <w:r>
        <w:t xml:space="preserve"> </w:t>
      </w:r>
      <w:r w:rsidRPr="00414E6C">
        <w:t xml:space="preserve">G.F.A. and employment associated within special care institutional dwellings treated as residential, resulting in an institutional employment difference between Schedules </w:t>
      </w:r>
      <w:r>
        <w:t>8</w:t>
      </w:r>
      <w:r w:rsidRPr="00414E6C">
        <w:t xml:space="preserve">a and </w:t>
      </w:r>
      <w:r>
        <w:t>8</w:t>
      </w:r>
      <w:r w:rsidRPr="00414E6C">
        <w:t xml:space="preserve">b.  Total employment growth in Schedule </w:t>
      </w:r>
      <w:r>
        <w:t>8</w:t>
      </w:r>
      <w:r w:rsidRPr="00414E6C">
        <w:t xml:space="preserve">b (excluding work at home and N.F.P.O.W. employment) has been downwardly adjusted to account for institutional employment associated with special care facilities.  Total employment in Schedule </w:t>
      </w:r>
      <w:r>
        <w:t>8</w:t>
      </w:r>
      <w:r w:rsidRPr="00414E6C">
        <w:t xml:space="preserve">b is anticipated to reach approximately </w:t>
      </w:r>
      <w:r>
        <w:t>82,290</w:t>
      </w:r>
      <w:r w:rsidRPr="00414E6C">
        <w:t xml:space="preserve"> by </w:t>
      </w:r>
      <w:r>
        <w:t>the end of the forecast period</w:t>
      </w:r>
      <w:r w:rsidRPr="00414E6C">
        <w:t>.</w:t>
      </w:r>
    </w:p>
  </w:footnote>
  <w:footnote w:id="8">
    <w:p w14:paraId="7B5BFF7C" w14:textId="77777777" w:rsidR="00D931C2" w:rsidRPr="00442FB8" w:rsidRDefault="00D931C2" w:rsidP="00B91466">
      <w:pPr>
        <w:pStyle w:val="Footnote"/>
        <w:rPr>
          <w:lang w:val="en-GB"/>
        </w:rPr>
      </w:pPr>
      <w:r w:rsidRPr="00442FB8">
        <w:rPr>
          <w:rStyle w:val="FootnoteReference"/>
          <w:lang w:val="en-GB"/>
        </w:rPr>
        <w:footnoteRef/>
      </w:r>
      <w:r w:rsidRPr="00442FB8">
        <w:rPr>
          <w:lang w:val="en-GB"/>
        </w:rPr>
        <w:t>with 7+ year life</w:t>
      </w:r>
      <w:r>
        <w:rPr>
          <w:lang w:val="en-GB"/>
        </w:rPr>
        <w:t>-</w:t>
      </w:r>
      <w:r w:rsidRPr="00442FB8">
        <w:rPr>
          <w:lang w:val="en-GB"/>
        </w:rPr>
        <w:t>time</w:t>
      </w:r>
    </w:p>
    <w:p w14:paraId="136544D7" w14:textId="77777777" w:rsidR="00D931C2" w:rsidRPr="00442FB8" w:rsidRDefault="00D931C2" w:rsidP="00B91466">
      <w:pPr>
        <w:pStyle w:val="Footnote"/>
        <w:rPr>
          <w:lang w:val="en-GB"/>
        </w:rPr>
      </w:pPr>
      <w:r w:rsidRPr="00442FB8">
        <w:rPr>
          <w:lang w:val="en-GB"/>
        </w:rPr>
        <w:t>*same percentage as service component to which it pertains</w:t>
      </w:r>
    </w:p>
    <w:p w14:paraId="2F0EAB45" w14:textId="77777777" w:rsidR="00D931C2" w:rsidRDefault="00D931C2" w:rsidP="00B91466">
      <w:pPr>
        <w:pStyle w:val="Footnote"/>
        <w:rPr>
          <w:szCs w:val="22"/>
          <w:lang w:val="en-GB"/>
        </w:rPr>
      </w:pPr>
      <w:r w:rsidRPr="00442FB8">
        <w:rPr>
          <w:lang w:val="en-GB"/>
        </w:rPr>
        <w:t xml:space="preserve">  computer equipment excluded throughout</w:t>
      </w:r>
    </w:p>
  </w:footnote>
  <w:footnote w:id="9">
    <w:p w14:paraId="60CD54A0" w14:textId="77777777" w:rsidR="00D931C2" w:rsidRPr="00A04819" w:rsidRDefault="00D931C2" w:rsidP="00B91466">
      <w:pPr>
        <w:pStyle w:val="Footnote"/>
      </w:pPr>
      <w:r w:rsidRPr="00A04819">
        <w:rPr>
          <w:rStyle w:val="FootnoteReference"/>
        </w:rPr>
        <w:footnoteRef/>
      </w:r>
      <w:r w:rsidRPr="00A04819">
        <w:rPr>
          <w:lang w:val="en-GB"/>
        </w:rPr>
        <w:t>with 7+ year life</w:t>
      </w:r>
      <w:r>
        <w:rPr>
          <w:lang w:val="en-GB"/>
        </w:rPr>
        <w:t>-</w:t>
      </w:r>
      <w:r w:rsidRPr="00A04819">
        <w:rPr>
          <w:lang w:val="en-GB"/>
        </w:rPr>
        <w:t>time</w:t>
      </w:r>
    </w:p>
  </w:footnote>
  <w:footnote w:id="10">
    <w:p w14:paraId="403460CE" w14:textId="77777777" w:rsidR="00D931C2" w:rsidRPr="00A04819" w:rsidRDefault="00D931C2" w:rsidP="00B91466">
      <w:pPr>
        <w:pStyle w:val="Footnote"/>
      </w:pPr>
      <w:r w:rsidRPr="00A04819">
        <w:rPr>
          <w:rStyle w:val="FootnoteReference"/>
        </w:rPr>
        <w:footnoteRef/>
      </w:r>
      <w:r w:rsidRPr="00A04819">
        <w:rPr>
          <w:lang w:val="en-GB"/>
        </w:rPr>
        <w:t>with 7+ year life</w:t>
      </w:r>
      <w:r>
        <w:rPr>
          <w:lang w:val="en-GB"/>
        </w:rPr>
        <w:t>-</w:t>
      </w:r>
      <w:r w:rsidRPr="00A04819">
        <w:rPr>
          <w:lang w:val="en-GB"/>
        </w:rPr>
        <w:t>time</w:t>
      </w:r>
    </w:p>
  </w:footnote>
  <w:footnote w:id="11">
    <w:p w14:paraId="2C9CC7E8" w14:textId="781DF5C7" w:rsidR="00D931C2" w:rsidRPr="00542366" w:rsidRDefault="00D931C2" w:rsidP="002E2F9B">
      <w:pPr>
        <w:pStyle w:val="Footnote"/>
      </w:pPr>
      <w:r>
        <w:rPr>
          <w:rStyle w:val="FootnoteReference"/>
        </w:rPr>
        <w:footnoteRef/>
      </w:r>
      <w:r>
        <w:t xml:space="preserve"> O. Reg. 82/98 referenced “The Statistics Canada Quarterly, Construction Price Statistics, catalogue number 62-007” as the index source.  Since implementation, Statistics Canada has modified this index twice and the above-noted index is the most current.  The draft by-laws provided herein refers to O. Reg. 82/98 to ensure traceability should this index continue to be modified over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AB1B" w14:textId="2AD0FF36" w:rsidR="00D931C2" w:rsidRDefault="00D931C2" w:rsidP="0042576A">
    <w:pPr>
      <w:pStyle w:val="Header"/>
      <w:jc w:val="center"/>
    </w:pPr>
    <w:r w:rsidRPr="009108B8">
      <w:rPr>
        <w:noProof/>
      </w:rPr>
      <w:drawing>
        <wp:inline distT="0" distB="0" distL="0" distR="0" wp14:anchorId="2EDB7A15" wp14:editId="14639249">
          <wp:extent cx="7772400" cy="3192145"/>
          <wp:effectExtent l="0" t="0" r="0" b="8255"/>
          <wp:docPr id="1705140195" name="Picture 1705140195">
            <a:extLst xmlns:a="http://schemas.openxmlformats.org/drawingml/2006/main">
              <a:ext uri="{FF2B5EF4-FFF2-40B4-BE49-F238E27FC236}">
                <a16:creationId xmlns:a16="http://schemas.microsoft.com/office/drawing/2014/main" id="{8E83D803-43C4-4DAD-A5A5-4540F965EBCC}"/>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a:extLst>
                      <a:ext uri="{FF2B5EF4-FFF2-40B4-BE49-F238E27FC236}">
                        <a16:creationId xmlns:a16="http://schemas.microsoft.com/office/drawing/2014/main" id="{8E83D803-43C4-4DAD-A5A5-4540F965EBCC}"/>
                      </a:ex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857" b="12509"/>
                  <a:stretch/>
                </pic:blipFill>
                <pic:spPr bwMode="auto">
                  <a:xfrm>
                    <a:off x="0" y="0"/>
                    <a:ext cx="7772400" cy="3192145"/>
                  </a:xfrm>
                  <a:prstGeom prst="rect">
                    <a:avLst/>
                  </a:prstGeom>
                  <a:noFill/>
                  <a:ln>
                    <a:noFill/>
                  </a:ln>
                  <a:effectLst/>
                  <a:extLst>
                    <a:ext uri="{53640926-AAD7-44D8-BBD7-CCE9431645EC}">
                      <a14:shadowObscured xmlns:a14="http://schemas.microsoft.com/office/drawing/2010/main"/>
                    </a:ext>
                  </a:ex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0403" w14:textId="77777777" w:rsidR="00D931C2" w:rsidRDefault="00D931C2" w:rsidP="00430425">
    <w:pPr>
      <w:pStyle w:val="Header"/>
      <w:spacing w:after="240"/>
    </w:pPr>
    <w:r>
      <w:rPr>
        <w:noProof/>
      </w:rPr>
      <w:drawing>
        <wp:inline distT="0" distB="0" distL="0" distR="0" wp14:anchorId="0AE1DA23" wp14:editId="157A355A">
          <wp:extent cx="685800" cy="686831"/>
          <wp:effectExtent l="0" t="0" r="0" b="0"/>
          <wp:docPr id="9" name="Picture 9"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15C31" w14:textId="77777777" w:rsidR="00D931C2" w:rsidRDefault="00D931C2" w:rsidP="00430425">
    <w:pPr>
      <w:pStyle w:val="Header"/>
      <w:spacing w:after="240"/>
    </w:pPr>
    <w:r>
      <w:rPr>
        <w:noProof/>
      </w:rPr>
      <w:drawing>
        <wp:inline distT="0" distB="0" distL="0" distR="0" wp14:anchorId="0C5D7FDC" wp14:editId="79FEDD4E">
          <wp:extent cx="7772068" cy="2447925"/>
          <wp:effectExtent l="0" t="0" r="635" b="0"/>
          <wp:docPr id="448" name="Picture 448"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ground 1.png"/>
                  <pic:cNvPicPr/>
                </pic:nvPicPr>
                <pic:blipFill rotWithShape="1">
                  <a:blip r:embed="rId1"/>
                  <a:srcRect b="17540"/>
                  <a:stretch/>
                </pic:blipFill>
                <pic:spPr bwMode="auto">
                  <a:xfrm>
                    <a:off x="0" y="0"/>
                    <a:ext cx="7772400" cy="244803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F8806" w14:textId="77777777" w:rsidR="00D931C2" w:rsidRPr="00430425" w:rsidRDefault="00D931C2" w:rsidP="00430425">
    <w:pPr>
      <w:pStyle w:val="Header"/>
      <w:spacing w:after="240"/>
    </w:pPr>
    <w:r>
      <w:rPr>
        <w:noProof/>
      </w:rPr>
      <w:drawing>
        <wp:inline distT="0" distB="0" distL="0" distR="0" wp14:anchorId="417CF6FE" wp14:editId="721C3946">
          <wp:extent cx="7772068" cy="2447925"/>
          <wp:effectExtent l="0" t="0" r="635" b="0"/>
          <wp:docPr id="15" name="Picture 15"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ground 1.png"/>
                  <pic:cNvPicPr/>
                </pic:nvPicPr>
                <pic:blipFill rotWithShape="1">
                  <a:blip r:embed="rId1"/>
                  <a:srcRect b="17540"/>
                  <a:stretch/>
                </pic:blipFill>
                <pic:spPr bwMode="auto">
                  <a:xfrm>
                    <a:off x="0" y="0"/>
                    <a:ext cx="7772400" cy="244803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79914" w14:textId="77777777" w:rsidR="00D931C2" w:rsidRDefault="00D931C2" w:rsidP="001F2BE2">
    <w:pPr>
      <w:pStyle w:val="Header"/>
      <w:spacing w:after="240"/>
    </w:pPr>
    <w:r>
      <w:rPr>
        <w:noProof/>
      </w:rPr>
      <w:drawing>
        <wp:inline distT="0" distB="0" distL="0" distR="0" wp14:anchorId="3FCE2BD0" wp14:editId="6373AE4A">
          <wp:extent cx="685800" cy="686831"/>
          <wp:effectExtent l="0" t="0" r="0" b="0"/>
          <wp:docPr id="449" name="Picture 449"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08E7E" w14:textId="77777777" w:rsidR="00D931C2" w:rsidRPr="00430425" w:rsidRDefault="00D931C2" w:rsidP="00430425">
    <w:pPr>
      <w:pStyle w:val="Header"/>
      <w:spacing w:after="240"/>
    </w:pPr>
    <w:r>
      <w:rPr>
        <w:noProof/>
      </w:rPr>
      <w:drawing>
        <wp:inline distT="0" distB="0" distL="0" distR="0" wp14:anchorId="67F24404" wp14:editId="54284650">
          <wp:extent cx="685800" cy="686831"/>
          <wp:effectExtent l="0" t="0" r="0" b="0"/>
          <wp:docPr id="21" name="Picture 21"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765EA" w14:textId="77777777" w:rsidR="00D931C2" w:rsidRPr="0042428C" w:rsidRDefault="00D931C2" w:rsidP="00E41201">
    <w:pPr>
      <w:pStyle w:val="Header"/>
      <w:spacing w:after="240"/>
    </w:pPr>
    <w:r>
      <w:rPr>
        <w:noProof/>
      </w:rPr>
      <w:drawing>
        <wp:inline distT="0" distB="0" distL="0" distR="0" wp14:anchorId="281E4461" wp14:editId="2C32047F">
          <wp:extent cx="685800" cy="686831"/>
          <wp:effectExtent l="0" t="0" r="0" b="0"/>
          <wp:docPr id="455299475" name="Picture 455299475"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FDF3" w14:textId="77777777" w:rsidR="00D931C2" w:rsidRDefault="00D931C2" w:rsidP="00430425">
    <w:pPr>
      <w:pStyle w:val="Header"/>
      <w:spacing w:after="240"/>
    </w:pPr>
    <w:r>
      <w:rPr>
        <w:noProof/>
      </w:rPr>
      <w:drawing>
        <wp:inline distT="0" distB="0" distL="0" distR="0" wp14:anchorId="15E34C03" wp14:editId="4BE7DAB1">
          <wp:extent cx="7772068" cy="2447925"/>
          <wp:effectExtent l="0" t="0" r="635" b="0"/>
          <wp:docPr id="1303920381" name="Picture 1303920381"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ground 1.png"/>
                  <pic:cNvPicPr/>
                </pic:nvPicPr>
                <pic:blipFill rotWithShape="1">
                  <a:blip r:embed="rId1"/>
                  <a:srcRect b="17540"/>
                  <a:stretch/>
                </pic:blipFill>
                <pic:spPr bwMode="auto">
                  <a:xfrm>
                    <a:off x="0" y="0"/>
                    <a:ext cx="7772400" cy="244803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F8930" w14:textId="77777777" w:rsidR="00D931C2" w:rsidRPr="00430425" w:rsidRDefault="00D931C2" w:rsidP="00430425">
    <w:pPr>
      <w:pStyle w:val="Header"/>
      <w:spacing w:after="240"/>
    </w:pPr>
    <w:r>
      <w:rPr>
        <w:noProof/>
      </w:rPr>
      <w:drawing>
        <wp:inline distT="0" distB="0" distL="0" distR="0" wp14:anchorId="18BD9CB5" wp14:editId="3D318E84">
          <wp:extent cx="7772068" cy="2447925"/>
          <wp:effectExtent l="0" t="0" r="635" b="0"/>
          <wp:docPr id="1905799808" name="Picture 1905799808"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ground 1.png"/>
                  <pic:cNvPicPr/>
                </pic:nvPicPr>
                <pic:blipFill rotWithShape="1">
                  <a:blip r:embed="rId1"/>
                  <a:srcRect b="17540"/>
                  <a:stretch/>
                </pic:blipFill>
                <pic:spPr bwMode="auto">
                  <a:xfrm>
                    <a:off x="0" y="0"/>
                    <a:ext cx="7772400" cy="244803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3CA94" w14:textId="77777777" w:rsidR="00D931C2" w:rsidRDefault="00D931C2" w:rsidP="001F2BE2">
    <w:pPr>
      <w:pStyle w:val="Header"/>
      <w:spacing w:after="240"/>
    </w:pPr>
    <w:r>
      <w:rPr>
        <w:noProof/>
      </w:rPr>
      <w:drawing>
        <wp:inline distT="0" distB="0" distL="0" distR="0" wp14:anchorId="313531B9" wp14:editId="60C162E4">
          <wp:extent cx="685800" cy="686831"/>
          <wp:effectExtent l="0" t="0" r="0" b="0"/>
          <wp:docPr id="1713902894" name="Picture 1713902894"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60274" w14:textId="77777777" w:rsidR="00D931C2" w:rsidRPr="00430425" w:rsidRDefault="00D931C2" w:rsidP="00430425">
    <w:pPr>
      <w:pStyle w:val="Header"/>
      <w:spacing w:after="240"/>
    </w:pPr>
    <w:r>
      <w:rPr>
        <w:noProof/>
      </w:rPr>
      <w:drawing>
        <wp:inline distT="0" distB="0" distL="0" distR="0" wp14:anchorId="75FBB91D" wp14:editId="54F98A24">
          <wp:extent cx="685800" cy="686831"/>
          <wp:effectExtent l="0" t="0" r="0" b="0"/>
          <wp:docPr id="1585022136" name="Picture 1585022136"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FE9F5" w14:textId="77777777" w:rsidR="00D931C2" w:rsidRDefault="00D931C2">
    <w:pPr>
      <w:pStyle w:val="Header"/>
    </w:pPr>
    <w:r w:rsidRPr="00795D75">
      <w:rPr>
        <w:noProof/>
      </w:rPr>
      <w:drawing>
        <wp:inline distT="0" distB="0" distL="0" distR="0" wp14:anchorId="3A9A5B55" wp14:editId="4EAE9D07">
          <wp:extent cx="7773627" cy="2414016"/>
          <wp:effectExtent l="0" t="0" r="0" b="0"/>
          <wp:docPr id="553055519" name="Picture 553055519" descr="Dot graphic for header" title="Do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773627" cy="241401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F2B1" w14:textId="77777777" w:rsidR="00D931C2" w:rsidRPr="00174968" w:rsidRDefault="00D931C2" w:rsidP="004A203F">
    <w:pPr>
      <w:pStyle w:val="TOCHeading"/>
      <w:tabs>
        <w:tab w:val="left" w:pos="8280"/>
      </w:tabs>
      <w:spacing w:before="240"/>
      <w:rPr>
        <w:noProof/>
      </w:rPr>
    </w:pPr>
    <w:r w:rsidRPr="00174968">
      <w:rPr>
        <w:noProof/>
      </w:rPr>
      <w:t>Table of Contents</w:t>
    </w:r>
    <w:r>
      <w:rPr>
        <w:noProof/>
      </w:rPr>
      <w:t xml:space="preserve"> </w:t>
    </w:r>
    <w:r w:rsidRPr="00D713A0">
      <w:rPr>
        <w:noProof/>
        <w:sz w:val="28"/>
        <w:szCs w:val="28"/>
      </w:rPr>
      <w:t>(Cont’d)</w:t>
    </w:r>
    <w:r>
      <w:rPr>
        <w:noProof/>
        <w:sz w:val="28"/>
        <w:szCs w:val="28"/>
      </w:rPr>
      <w:tab/>
    </w:r>
    <w:r>
      <w:rPr>
        <w:noProof/>
      </w:rPr>
      <w:drawing>
        <wp:inline distT="0" distB="0" distL="0" distR="0" wp14:anchorId="1BCAE485" wp14:editId="51AD8706">
          <wp:extent cx="685800" cy="686831"/>
          <wp:effectExtent l="0" t="0" r="0" b="0"/>
          <wp:docPr id="8" name="Picture 8"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p w14:paraId="2B1154C8" w14:textId="77777777" w:rsidR="00D931C2" w:rsidRPr="00512052" w:rsidRDefault="00D931C2" w:rsidP="00512052">
    <w:pPr>
      <w:spacing w:after="240"/>
      <w:jc w:val="right"/>
    </w:pPr>
    <w:r w:rsidRPr="004A167A">
      <w:t>Page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71BB1" w14:textId="77777777" w:rsidR="00D931C2" w:rsidRDefault="00D931C2" w:rsidP="006F742C">
    <w:pPr>
      <w:pStyle w:val="Header"/>
      <w:spacing w:after="240"/>
      <w:ind w:left="-1440"/>
      <w:jc w:val="left"/>
    </w:pPr>
    <w:r w:rsidRPr="00795D75">
      <w:rPr>
        <w:noProof/>
      </w:rPr>
      <w:drawing>
        <wp:inline distT="0" distB="0" distL="0" distR="0" wp14:anchorId="0921E0AD" wp14:editId="73B50B1C">
          <wp:extent cx="7773627" cy="2414016"/>
          <wp:effectExtent l="0" t="0" r="0" b="0"/>
          <wp:docPr id="10" name="Picture 10" descr="Dot graphic for header" title="Do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773627" cy="2414016"/>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9C5A6" w14:textId="77777777" w:rsidR="00D931C2" w:rsidRPr="00512052" w:rsidRDefault="00D931C2" w:rsidP="00512052">
    <w:pPr>
      <w:pStyle w:val="TOCHeading"/>
      <w:tabs>
        <w:tab w:val="left" w:pos="7893"/>
      </w:tabs>
      <w:spacing w:before="240"/>
      <w:rPr>
        <w:noProof/>
        <w:sz w:val="24"/>
        <w:szCs w:val="24"/>
      </w:rPr>
    </w:pPr>
    <w:r w:rsidRPr="008608C7">
      <w:rPr>
        <w:rStyle w:val="MinorTitleChar"/>
        <w:rFonts w:eastAsiaTheme="minorHAnsi"/>
      </w:rPr>
      <w:t>List of Acronyms and Abbreviations</w:t>
    </w:r>
    <w:r>
      <w:rPr>
        <w:noProof/>
      </w:rPr>
      <w:t xml:space="preserve"> </w:t>
    </w:r>
    <w:r w:rsidRPr="008608C7">
      <w:rPr>
        <w:noProof/>
        <w:sz w:val="22"/>
        <w:szCs w:val="22"/>
      </w:rPr>
      <w:t>(Cont’d)</w:t>
    </w:r>
    <w:r>
      <w:rPr>
        <w:noProof/>
        <w:sz w:val="28"/>
        <w:szCs w:val="28"/>
      </w:rPr>
      <w:tab/>
    </w:r>
    <w:r>
      <w:rPr>
        <w:noProof/>
      </w:rPr>
      <w:drawing>
        <wp:inline distT="0" distB="0" distL="0" distR="0" wp14:anchorId="03782F35" wp14:editId="34B7A573">
          <wp:extent cx="685800" cy="686831"/>
          <wp:effectExtent l="0" t="0" r="0" b="0"/>
          <wp:docPr id="23" name="Picture 23"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1325" w14:textId="77777777" w:rsidR="00D931C2" w:rsidRDefault="00D931C2" w:rsidP="006F742C">
    <w:pPr>
      <w:pStyle w:val="Header"/>
      <w:spacing w:after="240"/>
      <w:ind w:left="-1440"/>
      <w:jc w:val="left"/>
    </w:pPr>
    <w:r w:rsidRPr="00795D75">
      <w:rPr>
        <w:noProof/>
      </w:rPr>
      <w:drawing>
        <wp:inline distT="0" distB="0" distL="0" distR="0" wp14:anchorId="0452F22A" wp14:editId="7D20F05F">
          <wp:extent cx="7773627" cy="2414016"/>
          <wp:effectExtent l="0" t="0" r="0" b="0"/>
          <wp:docPr id="29" name="Picture 29" descr="Dot graphic for header" title="Do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7773627" cy="2414016"/>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3C2DD" w14:textId="77777777" w:rsidR="00D931C2" w:rsidRDefault="00D931C2" w:rsidP="00430425">
    <w:pPr>
      <w:pStyle w:val="Header"/>
      <w:spacing w:after="240"/>
    </w:pPr>
    <w:r>
      <w:rPr>
        <w:noProof/>
      </w:rPr>
      <w:drawing>
        <wp:inline distT="0" distB="0" distL="0" distR="0" wp14:anchorId="73B278C6" wp14:editId="20D04555">
          <wp:extent cx="7772068" cy="2447925"/>
          <wp:effectExtent l="0" t="0" r="635" b="0"/>
          <wp:docPr id="681" name="Picture 681"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ground 1.png"/>
                  <pic:cNvPicPr/>
                </pic:nvPicPr>
                <pic:blipFill rotWithShape="1">
                  <a:blip r:embed="rId1"/>
                  <a:srcRect b="17540"/>
                  <a:stretch/>
                </pic:blipFill>
                <pic:spPr bwMode="auto">
                  <a:xfrm>
                    <a:off x="0" y="0"/>
                    <a:ext cx="7772400" cy="244803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2932" w14:textId="77777777" w:rsidR="00D931C2" w:rsidRDefault="00D931C2" w:rsidP="00430425">
    <w:pPr>
      <w:pStyle w:val="Header"/>
      <w:spacing w:after="240"/>
      <w:jc w:val="left"/>
    </w:pPr>
    <w:r>
      <w:rPr>
        <w:noProof/>
      </w:rPr>
      <w:drawing>
        <wp:inline distT="0" distB="0" distL="0" distR="0" wp14:anchorId="71009C07" wp14:editId="3F6EA3B1">
          <wp:extent cx="7772068" cy="2447925"/>
          <wp:effectExtent l="0" t="0" r="635" b="0"/>
          <wp:docPr id="6" name="Picture 6"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ground 1.png"/>
                  <pic:cNvPicPr/>
                </pic:nvPicPr>
                <pic:blipFill rotWithShape="1">
                  <a:blip r:embed="rId1"/>
                  <a:srcRect b="17540"/>
                  <a:stretch/>
                </pic:blipFill>
                <pic:spPr bwMode="auto">
                  <a:xfrm>
                    <a:off x="0" y="0"/>
                    <a:ext cx="7772400" cy="244803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8F820" w14:textId="77777777" w:rsidR="00D931C2" w:rsidRDefault="00D931C2" w:rsidP="001F2BE2">
    <w:pPr>
      <w:pStyle w:val="Header"/>
      <w:spacing w:after="240"/>
    </w:pPr>
    <w:r>
      <w:rPr>
        <w:noProof/>
      </w:rPr>
      <w:drawing>
        <wp:inline distT="0" distB="0" distL="0" distR="0" wp14:anchorId="128A8D8D" wp14:editId="6865224D">
          <wp:extent cx="685800" cy="686831"/>
          <wp:effectExtent l="0" t="0" r="0" b="0"/>
          <wp:docPr id="31" name="Picture 31" descr="Watson leaf icon" title="Watson lea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tson_Icon_RGB.png"/>
                  <pic:cNvPicPr/>
                </pic:nvPicPr>
                <pic:blipFill>
                  <a:blip r:embed="rId1" cstate="hqprint">
                    <a:extLst>
                      <a:ext uri="{28A0092B-C50C-407E-A947-70E740481C1C}">
                        <a14:useLocalDpi xmlns:a14="http://schemas.microsoft.com/office/drawing/2010/main"/>
                      </a:ext>
                    </a:extLst>
                  </a:blip>
                  <a:stretch>
                    <a:fillRect/>
                  </a:stretch>
                </pic:blipFill>
                <pic:spPr>
                  <a:xfrm>
                    <a:off x="0" y="0"/>
                    <a:ext cx="685800" cy="6868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4E2B"/>
    <w:multiLevelType w:val="hybridMultilevel"/>
    <w:tmpl w:val="240894A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87938"/>
    <w:multiLevelType w:val="multilevel"/>
    <w:tmpl w:val="CF72CDD2"/>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EB4443B"/>
    <w:multiLevelType w:val="hybridMultilevel"/>
    <w:tmpl w:val="2EC246D8"/>
    <w:lvl w:ilvl="0" w:tplc="52609064">
      <w:start w:val="1"/>
      <w:numFmt w:val="bullet"/>
      <w:pStyle w:val="BodyTextbullets125"/>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D3622"/>
    <w:multiLevelType w:val="hybridMultilevel"/>
    <w:tmpl w:val="F65A7CC6"/>
    <w:lvl w:ilvl="0" w:tplc="DAE6231A">
      <w:start w:val="1"/>
      <w:numFmt w:val="lowerLetter"/>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74CAE"/>
    <w:multiLevelType w:val="hybridMultilevel"/>
    <w:tmpl w:val="2312EDA8"/>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3F6579"/>
    <w:multiLevelType w:val="hybridMultilevel"/>
    <w:tmpl w:val="325C61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B4380B"/>
    <w:multiLevelType w:val="hybridMultilevel"/>
    <w:tmpl w:val="9DEE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9E4381"/>
    <w:multiLevelType w:val="hybridMultilevel"/>
    <w:tmpl w:val="B7A264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63A2B"/>
    <w:multiLevelType w:val="hybridMultilevel"/>
    <w:tmpl w:val="61F8C50E"/>
    <w:lvl w:ilvl="0" w:tplc="4D5290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E22F6"/>
    <w:multiLevelType w:val="hybridMultilevel"/>
    <w:tmpl w:val="D50CEE08"/>
    <w:lvl w:ilvl="0" w:tplc="D006F9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C1490C"/>
    <w:multiLevelType w:val="hybridMultilevel"/>
    <w:tmpl w:val="3140ACFE"/>
    <w:lvl w:ilvl="0" w:tplc="D006F9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F67581"/>
    <w:multiLevelType w:val="hybridMultilevel"/>
    <w:tmpl w:val="2B606744"/>
    <w:lvl w:ilvl="0" w:tplc="DAE6231A">
      <w:start w:val="1"/>
      <w:numFmt w:val="lowerLetter"/>
      <w:lvlText w:val="(%1)"/>
      <w:lvlJc w:val="left"/>
      <w:pPr>
        <w:ind w:left="1440" w:hanging="360"/>
      </w:pPr>
      <w:rPr>
        <w:rFonts w:ascii="Arial" w:hAnsi="Arial"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 w15:restartNumberingAfterBreak="0">
    <w:nsid w:val="40BA5E6A"/>
    <w:multiLevelType w:val="multilevel"/>
    <w:tmpl w:val="3606D760"/>
    <w:lvl w:ilvl="0">
      <w:start w:val="1"/>
      <w:numFmt w:val="decimal"/>
      <w:lvlText w:val="%1."/>
      <w:lvlJc w:val="left"/>
      <w:pPr>
        <w:ind w:left="720" w:hanging="360"/>
      </w:pPr>
    </w:lvl>
    <w:lvl w:ilvl="1">
      <w:start w:val="1"/>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11621AE"/>
    <w:multiLevelType w:val="hybridMultilevel"/>
    <w:tmpl w:val="55D8D52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50C32F0"/>
    <w:multiLevelType w:val="hybridMultilevel"/>
    <w:tmpl w:val="B79C6686"/>
    <w:lvl w:ilvl="0" w:tplc="D006F9D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BF68A9"/>
    <w:multiLevelType w:val="hybridMultilevel"/>
    <w:tmpl w:val="5A222A6C"/>
    <w:lvl w:ilvl="0" w:tplc="DAE6231A">
      <w:start w:val="1"/>
      <w:numFmt w:val="lowerLetter"/>
      <w:lvlText w:val="(%1)"/>
      <w:lvlJc w:val="left"/>
      <w:pPr>
        <w:ind w:left="720" w:hanging="360"/>
      </w:pPr>
      <w:rPr>
        <w:rFonts w:ascii="Arial" w:hAnsi="Aria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D74CDE"/>
    <w:multiLevelType w:val="multilevel"/>
    <w:tmpl w:val="35067E1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5C95A61"/>
    <w:multiLevelType w:val="hybridMultilevel"/>
    <w:tmpl w:val="80E8D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F9597C"/>
    <w:multiLevelType w:val="hybridMultilevel"/>
    <w:tmpl w:val="5A361D84"/>
    <w:lvl w:ilvl="0" w:tplc="DAE6231A">
      <w:start w:val="1"/>
      <w:numFmt w:val="lowerLetter"/>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F06943"/>
    <w:multiLevelType w:val="hybridMultilevel"/>
    <w:tmpl w:val="81CE24BA"/>
    <w:lvl w:ilvl="0" w:tplc="7ED67770">
      <w:start w:val="1"/>
      <w:numFmt w:val="upperLetter"/>
      <w:pStyle w:val="ListParagraph"/>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5930551C"/>
    <w:multiLevelType w:val="hybridMultilevel"/>
    <w:tmpl w:val="5F76C8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A91645"/>
    <w:multiLevelType w:val="hybridMultilevel"/>
    <w:tmpl w:val="F69C49D4"/>
    <w:lvl w:ilvl="0" w:tplc="0409000F">
      <w:start w:val="1"/>
      <w:numFmt w:val="decimal"/>
      <w:lvlText w:val="%1."/>
      <w:lvlJc w:val="left"/>
      <w:pPr>
        <w:ind w:left="720" w:hanging="360"/>
      </w:pPr>
      <w:rPr>
        <w:rFonts w:hint="default"/>
      </w:rPr>
    </w:lvl>
    <w:lvl w:ilvl="1" w:tplc="4D529014">
      <w:start w:val="1"/>
      <w:numFmt w:val="decimal"/>
      <w:lvlText w:val="%2)"/>
      <w:lvlJc w:val="left"/>
      <w:pPr>
        <w:ind w:left="1512" w:hanging="432"/>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E316BB"/>
    <w:multiLevelType w:val="hybridMultilevel"/>
    <w:tmpl w:val="7A6AB7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3A22E7"/>
    <w:multiLevelType w:val="hybridMultilevel"/>
    <w:tmpl w:val="3EA484FE"/>
    <w:lvl w:ilvl="0" w:tplc="DAE6231A">
      <w:start w:val="1"/>
      <w:numFmt w:val="lowerLetter"/>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A205E8"/>
    <w:multiLevelType w:val="hybridMultilevel"/>
    <w:tmpl w:val="9720374E"/>
    <w:lvl w:ilvl="0" w:tplc="D006F9D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D76287"/>
    <w:multiLevelType w:val="hybridMultilevel"/>
    <w:tmpl w:val="22F0B6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7D57B6"/>
    <w:multiLevelType w:val="hybridMultilevel"/>
    <w:tmpl w:val="FB32532E"/>
    <w:lvl w:ilvl="0" w:tplc="FFFFFFFF">
      <w:start w:val="1"/>
      <w:numFmt w:val="bullet"/>
      <w:lvlText w:val=""/>
      <w:lvlJc w:val="left"/>
      <w:pPr>
        <w:ind w:left="720" w:hanging="360"/>
      </w:pPr>
      <w:rPr>
        <w:rFonts w:ascii="Symbol" w:hAnsi="Symbol" w:hint="default"/>
      </w:rPr>
    </w:lvl>
    <w:lvl w:ilvl="1" w:tplc="1009001B">
      <w:start w:val="1"/>
      <w:numFmt w:val="low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D24189A"/>
    <w:multiLevelType w:val="hybridMultilevel"/>
    <w:tmpl w:val="E280D5D6"/>
    <w:lvl w:ilvl="0" w:tplc="FAB205F0">
      <w:start w:val="1"/>
      <w:numFmt w:val="decimal"/>
      <w:lvlText w:val="%1."/>
      <w:lvlJc w:val="left"/>
      <w:pPr>
        <w:ind w:left="1440" w:hanging="360"/>
      </w:pPr>
      <w:rPr>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63586681">
    <w:abstractNumId w:val="2"/>
  </w:num>
  <w:num w:numId="2" w16cid:durableId="320085101">
    <w:abstractNumId w:val="19"/>
  </w:num>
  <w:num w:numId="3" w16cid:durableId="1766227577">
    <w:abstractNumId w:val="1"/>
  </w:num>
  <w:num w:numId="4" w16cid:durableId="2126191421">
    <w:abstractNumId w:val="1"/>
  </w:num>
  <w:num w:numId="5" w16cid:durableId="1999845651">
    <w:abstractNumId w:val="21"/>
  </w:num>
  <w:num w:numId="6" w16cid:durableId="1881239067">
    <w:abstractNumId w:val="4"/>
  </w:num>
  <w:num w:numId="7" w16cid:durableId="2103449913">
    <w:abstractNumId w:val="0"/>
  </w:num>
  <w:num w:numId="8" w16cid:durableId="1917863892">
    <w:abstractNumId w:val="3"/>
  </w:num>
  <w:num w:numId="9" w16cid:durableId="21322436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62112374">
    <w:abstractNumId w:val="17"/>
  </w:num>
  <w:num w:numId="11" w16cid:durableId="839738403">
    <w:abstractNumId w:val="25"/>
  </w:num>
  <w:num w:numId="12" w16cid:durableId="784498680">
    <w:abstractNumId w:val="20"/>
  </w:num>
  <w:num w:numId="13" w16cid:durableId="1714233896">
    <w:abstractNumId w:val="27"/>
  </w:num>
  <w:num w:numId="14" w16cid:durableId="792284840">
    <w:abstractNumId w:val="5"/>
  </w:num>
  <w:num w:numId="15" w16cid:durableId="204947948">
    <w:abstractNumId w:val="6"/>
  </w:num>
  <w:num w:numId="16" w16cid:durableId="809982944">
    <w:abstractNumId w:val="8"/>
  </w:num>
  <w:num w:numId="17" w16cid:durableId="207836614">
    <w:abstractNumId w:val="7"/>
  </w:num>
  <w:num w:numId="18" w16cid:durableId="634600197">
    <w:abstractNumId w:val="14"/>
  </w:num>
  <w:num w:numId="19" w16cid:durableId="289744643">
    <w:abstractNumId w:val="24"/>
  </w:num>
  <w:num w:numId="20" w16cid:durableId="1689405763">
    <w:abstractNumId w:val="10"/>
  </w:num>
  <w:num w:numId="21" w16cid:durableId="1379360504">
    <w:abstractNumId w:val="9"/>
  </w:num>
  <w:num w:numId="22" w16cid:durableId="784153282">
    <w:abstractNumId w:val="12"/>
  </w:num>
  <w:num w:numId="23" w16cid:durableId="969821147">
    <w:abstractNumId w:val="11"/>
  </w:num>
  <w:num w:numId="24" w16cid:durableId="2130463982">
    <w:abstractNumId w:val="22"/>
  </w:num>
  <w:num w:numId="25" w16cid:durableId="47775897">
    <w:abstractNumId w:val="23"/>
  </w:num>
  <w:num w:numId="26" w16cid:durableId="136268344">
    <w:abstractNumId w:val="18"/>
  </w:num>
  <w:num w:numId="27" w16cid:durableId="1744255277">
    <w:abstractNumId w:val="15"/>
  </w:num>
  <w:num w:numId="28" w16cid:durableId="1074937205">
    <w:abstractNumId w:val="16"/>
  </w:num>
  <w:num w:numId="29" w16cid:durableId="1685210831">
    <w:abstractNumId w:val="13"/>
  </w:num>
  <w:num w:numId="30" w16cid:durableId="654141414">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isplayBackgroundShape/>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360"/>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686"/>
    <w:rsid w:val="00002B38"/>
    <w:rsid w:val="000058C4"/>
    <w:rsid w:val="00006A67"/>
    <w:rsid w:val="00006EDC"/>
    <w:rsid w:val="00007B3D"/>
    <w:rsid w:val="0001089E"/>
    <w:rsid w:val="00011077"/>
    <w:rsid w:val="0001325B"/>
    <w:rsid w:val="00013F2E"/>
    <w:rsid w:val="000142CB"/>
    <w:rsid w:val="000173E4"/>
    <w:rsid w:val="0001780B"/>
    <w:rsid w:val="00022342"/>
    <w:rsid w:val="00032C96"/>
    <w:rsid w:val="000332C5"/>
    <w:rsid w:val="00034F5C"/>
    <w:rsid w:val="000351B9"/>
    <w:rsid w:val="00036273"/>
    <w:rsid w:val="000410D6"/>
    <w:rsid w:val="00043A82"/>
    <w:rsid w:val="00043B5E"/>
    <w:rsid w:val="0005026C"/>
    <w:rsid w:val="00050317"/>
    <w:rsid w:val="000522C2"/>
    <w:rsid w:val="00064C03"/>
    <w:rsid w:val="00067456"/>
    <w:rsid w:val="0007034B"/>
    <w:rsid w:val="0007331B"/>
    <w:rsid w:val="0007373A"/>
    <w:rsid w:val="00080B15"/>
    <w:rsid w:val="00081360"/>
    <w:rsid w:val="0008218E"/>
    <w:rsid w:val="000826C7"/>
    <w:rsid w:val="00085E10"/>
    <w:rsid w:val="00090504"/>
    <w:rsid w:val="00090DC5"/>
    <w:rsid w:val="00091A11"/>
    <w:rsid w:val="00095400"/>
    <w:rsid w:val="00095A9D"/>
    <w:rsid w:val="00095E6C"/>
    <w:rsid w:val="000963D8"/>
    <w:rsid w:val="0009769E"/>
    <w:rsid w:val="000977F9"/>
    <w:rsid w:val="000A1C6B"/>
    <w:rsid w:val="000A4C99"/>
    <w:rsid w:val="000B0B9C"/>
    <w:rsid w:val="000B6D7C"/>
    <w:rsid w:val="000C1BAC"/>
    <w:rsid w:val="000C6849"/>
    <w:rsid w:val="000D1424"/>
    <w:rsid w:val="000D3A39"/>
    <w:rsid w:val="000D468D"/>
    <w:rsid w:val="000D5835"/>
    <w:rsid w:val="000D7616"/>
    <w:rsid w:val="000E26BC"/>
    <w:rsid w:val="000E2F1F"/>
    <w:rsid w:val="000F00DA"/>
    <w:rsid w:val="000F187D"/>
    <w:rsid w:val="000F48E6"/>
    <w:rsid w:val="000F671D"/>
    <w:rsid w:val="00104209"/>
    <w:rsid w:val="001046B2"/>
    <w:rsid w:val="001074B7"/>
    <w:rsid w:val="0011055C"/>
    <w:rsid w:val="00111F23"/>
    <w:rsid w:val="001143A1"/>
    <w:rsid w:val="001202FC"/>
    <w:rsid w:val="00123401"/>
    <w:rsid w:val="00127291"/>
    <w:rsid w:val="001346DD"/>
    <w:rsid w:val="001350F1"/>
    <w:rsid w:val="00135758"/>
    <w:rsid w:val="00140985"/>
    <w:rsid w:val="0014346A"/>
    <w:rsid w:val="00145686"/>
    <w:rsid w:val="00147B48"/>
    <w:rsid w:val="00150640"/>
    <w:rsid w:val="00157231"/>
    <w:rsid w:val="00162D9F"/>
    <w:rsid w:val="001658FE"/>
    <w:rsid w:val="00167872"/>
    <w:rsid w:val="001707C9"/>
    <w:rsid w:val="00170E3D"/>
    <w:rsid w:val="00174968"/>
    <w:rsid w:val="00177DD0"/>
    <w:rsid w:val="00181CFD"/>
    <w:rsid w:val="001824B1"/>
    <w:rsid w:val="0018287F"/>
    <w:rsid w:val="001837FB"/>
    <w:rsid w:val="00184FA7"/>
    <w:rsid w:val="0018798D"/>
    <w:rsid w:val="00190AC9"/>
    <w:rsid w:val="001911D3"/>
    <w:rsid w:val="00192149"/>
    <w:rsid w:val="001938A4"/>
    <w:rsid w:val="00194B3A"/>
    <w:rsid w:val="001A16F9"/>
    <w:rsid w:val="001A3872"/>
    <w:rsid w:val="001A583E"/>
    <w:rsid w:val="001A5F79"/>
    <w:rsid w:val="001B0137"/>
    <w:rsid w:val="001B2957"/>
    <w:rsid w:val="001B6810"/>
    <w:rsid w:val="001B6843"/>
    <w:rsid w:val="001B7E8F"/>
    <w:rsid w:val="001C037C"/>
    <w:rsid w:val="001C1FD1"/>
    <w:rsid w:val="001C20DB"/>
    <w:rsid w:val="001C3C65"/>
    <w:rsid w:val="001D22C0"/>
    <w:rsid w:val="001D35DD"/>
    <w:rsid w:val="001D78DB"/>
    <w:rsid w:val="001E1597"/>
    <w:rsid w:val="001E1908"/>
    <w:rsid w:val="001E2D51"/>
    <w:rsid w:val="001E7030"/>
    <w:rsid w:val="001F2BE2"/>
    <w:rsid w:val="002037EB"/>
    <w:rsid w:val="00204CA1"/>
    <w:rsid w:val="00204DF6"/>
    <w:rsid w:val="00205AAF"/>
    <w:rsid w:val="00206122"/>
    <w:rsid w:val="00210741"/>
    <w:rsid w:val="0021146D"/>
    <w:rsid w:val="00211AC7"/>
    <w:rsid w:val="00215CE1"/>
    <w:rsid w:val="002164A1"/>
    <w:rsid w:val="002233C1"/>
    <w:rsid w:val="002277E3"/>
    <w:rsid w:val="00234399"/>
    <w:rsid w:val="0023583C"/>
    <w:rsid w:val="00240FBF"/>
    <w:rsid w:val="00244154"/>
    <w:rsid w:val="002472EA"/>
    <w:rsid w:val="0025091A"/>
    <w:rsid w:val="002542EF"/>
    <w:rsid w:val="00261B6A"/>
    <w:rsid w:val="00265EC7"/>
    <w:rsid w:val="00273604"/>
    <w:rsid w:val="00280982"/>
    <w:rsid w:val="0028451E"/>
    <w:rsid w:val="00285724"/>
    <w:rsid w:val="0029003D"/>
    <w:rsid w:val="00294E19"/>
    <w:rsid w:val="002A13A2"/>
    <w:rsid w:val="002A7092"/>
    <w:rsid w:val="002B4CD3"/>
    <w:rsid w:val="002C09E8"/>
    <w:rsid w:val="002C639F"/>
    <w:rsid w:val="002C658C"/>
    <w:rsid w:val="002C714A"/>
    <w:rsid w:val="002C7897"/>
    <w:rsid w:val="002D2D63"/>
    <w:rsid w:val="002E2F9B"/>
    <w:rsid w:val="002E3628"/>
    <w:rsid w:val="002E42D2"/>
    <w:rsid w:val="002E6C18"/>
    <w:rsid w:val="002E6CD7"/>
    <w:rsid w:val="002F43A5"/>
    <w:rsid w:val="002F6ED8"/>
    <w:rsid w:val="002F7E12"/>
    <w:rsid w:val="00301D38"/>
    <w:rsid w:val="00304F66"/>
    <w:rsid w:val="00311656"/>
    <w:rsid w:val="00311F8E"/>
    <w:rsid w:val="00312225"/>
    <w:rsid w:val="0031522A"/>
    <w:rsid w:val="00317A62"/>
    <w:rsid w:val="00320C05"/>
    <w:rsid w:val="0033223C"/>
    <w:rsid w:val="00332A76"/>
    <w:rsid w:val="003425B6"/>
    <w:rsid w:val="00347BE5"/>
    <w:rsid w:val="0035527D"/>
    <w:rsid w:val="00357AA9"/>
    <w:rsid w:val="003633CA"/>
    <w:rsid w:val="00365DF2"/>
    <w:rsid w:val="00372946"/>
    <w:rsid w:val="00372AFD"/>
    <w:rsid w:val="00372C8C"/>
    <w:rsid w:val="003735BE"/>
    <w:rsid w:val="00373C8E"/>
    <w:rsid w:val="00375BE9"/>
    <w:rsid w:val="003762F7"/>
    <w:rsid w:val="00377DEF"/>
    <w:rsid w:val="00381310"/>
    <w:rsid w:val="00387A9B"/>
    <w:rsid w:val="003908D7"/>
    <w:rsid w:val="00390D8E"/>
    <w:rsid w:val="003930AA"/>
    <w:rsid w:val="0039492D"/>
    <w:rsid w:val="003A1CB6"/>
    <w:rsid w:val="003A2C94"/>
    <w:rsid w:val="003A320B"/>
    <w:rsid w:val="003A37FC"/>
    <w:rsid w:val="003B194A"/>
    <w:rsid w:val="003B5C94"/>
    <w:rsid w:val="003B5F5E"/>
    <w:rsid w:val="003B7A61"/>
    <w:rsid w:val="003C52CE"/>
    <w:rsid w:val="003C5451"/>
    <w:rsid w:val="003C6044"/>
    <w:rsid w:val="003C7304"/>
    <w:rsid w:val="003D72F1"/>
    <w:rsid w:val="003E00D8"/>
    <w:rsid w:val="003E2646"/>
    <w:rsid w:val="003E2D7D"/>
    <w:rsid w:val="003E5AB6"/>
    <w:rsid w:val="003E68F5"/>
    <w:rsid w:val="003F2297"/>
    <w:rsid w:val="00403729"/>
    <w:rsid w:val="0040402C"/>
    <w:rsid w:val="0040566C"/>
    <w:rsid w:val="00406936"/>
    <w:rsid w:val="00407452"/>
    <w:rsid w:val="0041578B"/>
    <w:rsid w:val="004227F7"/>
    <w:rsid w:val="0042576A"/>
    <w:rsid w:val="00427ADB"/>
    <w:rsid w:val="00430425"/>
    <w:rsid w:val="00432F4E"/>
    <w:rsid w:val="00435443"/>
    <w:rsid w:val="004406E9"/>
    <w:rsid w:val="00441376"/>
    <w:rsid w:val="004427F1"/>
    <w:rsid w:val="0044401C"/>
    <w:rsid w:val="00447BE7"/>
    <w:rsid w:val="004518C9"/>
    <w:rsid w:val="004527C8"/>
    <w:rsid w:val="00454E4D"/>
    <w:rsid w:val="00455F01"/>
    <w:rsid w:val="0046024B"/>
    <w:rsid w:val="00462A5F"/>
    <w:rsid w:val="00462AE6"/>
    <w:rsid w:val="00464986"/>
    <w:rsid w:val="00473917"/>
    <w:rsid w:val="00473E95"/>
    <w:rsid w:val="004756C6"/>
    <w:rsid w:val="004762D3"/>
    <w:rsid w:val="00481845"/>
    <w:rsid w:val="00482BD4"/>
    <w:rsid w:val="00483DEC"/>
    <w:rsid w:val="00487AD7"/>
    <w:rsid w:val="004936B0"/>
    <w:rsid w:val="004A203F"/>
    <w:rsid w:val="004A3FD0"/>
    <w:rsid w:val="004A4E6C"/>
    <w:rsid w:val="004A533B"/>
    <w:rsid w:val="004A6ADD"/>
    <w:rsid w:val="004B0310"/>
    <w:rsid w:val="004B2B14"/>
    <w:rsid w:val="004B4087"/>
    <w:rsid w:val="004C0546"/>
    <w:rsid w:val="004C0DF8"/>
    <w:rsid w:val="004C1A10"/>
    <w:rsid w:val="004C1E33"/>
    <w:rsid w:val="004C3705"/>
    <w:rsid w:val="004C37B5"/>
    <w:rsid w:val="004C44F2"/>
    <w:rsid w:val="004C4C88"/>
    <w:rsid w:val="004C5667"/>
    <w:rsid w:val="004C5B0D"/>
    <w:rsid w:val="004C78DA"/>
    <w:rsid w:val="004D19B4"/>
    <w:rsid w:val="004D5394"/>
    <w:rsid w:val="004E23FE"/>
    <w:rsid w:val="004E5C4E"/>
    <w:rsid w:val="004F173B"/>
    <w:rsid w:val="004F70E1"/>
    <w:rsid w:val="00504826"/>
    <w:rsid w:val="00505740"/>
    <w:rsid w:val="0050650E"/>
    <w:rsid w:val="00506C8E"/>
    <w:rsid w:val="00507049"/>
    <w:rsid w:val="00510689"/>
    <w:rsid w:val="00511119"/>
    <w:rsid w:val="00511515"/>
    <w:rsid w:val="00512052"/>
    <w:rsid w:val="005153F9"/>
    <w:rsid w:val="0052431E"/>
    <w:rsid w:val="00524BC0"/>
    <w:rsid w:val="00531A47"/>
    <w:rsid w:val="00541A32"/>
    <w:rsid w:val="0054675E"/>
    <w:rsid w:val="00547192"/>
    <w:rsid w:val="00551A91"/>
    <w:rsid w:val="00553C71"/>
    <w:rsid w:val="00560E78"/>
    <w:rsid w:val="00560FC9"/>
    <w:rsid w:val="00562539"/>
    <w:rsid w:val="00567657"/>
    <w:rsid w:val="00567764"/>
    <w:rsid w:val="00571728"/>
    <w:rsid w:val="00573AAB"/>
    <w:rsid w:val="00574ABE"/>
    <w:rsid w:val="0057759A"/>
    <w:rsid w:val="005811A4"/>
    <w:rsid w:val="00583F4B"/>
    <w:rsid w:val="00585419"/>
    <w:rsid w:val="00586DBE"/>
    <w:rsid w:val="005902A4"/>
    <w:rsid w:val="00591924"/>
    <w:rsid w:val="00596CA3"/>
    <w:rsid w:val="00596D3D"/>
    <w:rsid w:val="005A3681"/>
    <w:rsid w:val="005A452E"/>
    <w:rsid w:val="005B70EC"/>
    <w:rsid w:val="005C14FF"/>
    <w:rsid w:val="005C2E16"/>
    <w:rsid w:val="005C382D"/>
    <w:rsid w:val="005C60D9"/>
    <w:rsid w:val="005D07EE"/>
    <w:rsid w:val="005D1084"/>
    <w:rsid w:val="005F0CE8"/>
    <w:rsid w:val="005F1414"/>
    <w:rsid w:val="005F1595"/>
    <w:rsid w:val="005F3099"/>
    <w:rsid w:val="005F6A82"/>
    <w:rsid w:val="00601ADA"/>
    <w:rsid w:val="00601BBF"/>
    <w:rsid w:val="00601DB5"/>
    <w:rsid w:val="00614728"/>
    <w:rsid w:val="0061706B"/>
    <w:rsid w:val="0062024F"/>
    <w:rsid w:val="00620725"/>
    <w:rsid w:val="00627E48"/>
    <w:rsid w:val="0064232E"/>
    <w:rsid w:val="0065173E"/>
    <w:rsid w:val="0065353E"/>
    <w:rsid w:val="0065471E"/>
    <w:rsid w:val="00656D9F"/>
    <w:rsid w:val="0066037E"/>
    <w:rsid w:val="00663815"/>
    <w:rsid w:val="00671D9C"/>
    <w:rsid w:val="00674587"/>
    <w:rsid w:val="0067489A"/>
    <w:rsid w:val="00674AA6"/>
    <w:rsid w:val="00680B07"/>
    <w:rsid w:val="00680FF6"/>
    <w:rsid w:val="00681770"/>
    <w:rsid w:val="006828A2"/>
    <w:rsid w:val="00683BCD"/>
    <w:rsid w:val="00686BB5"/>
    <w:rsid w:val="00690E46"/>
    <w:rsid w:val="00691326"/>
    <w:rsid w:val="00692EA4"/>
    <w:rsid w:val="0069452C"/>
    <w:rsid w:val="00694631"/>
    <w:rsid w:val="00694A7B"/>
    <w:rsid w:val="006A0635"/>
    <w:rsid w:val="006A0F3B"/>
    <w:rsid w:val="006A447D"/>
    <w:rsid w:val="006A7162"/>
    <w:rsid w:val="006B5C96"/>
    <w:rsid w:val="006B6070"/>
    <w:rsid w:val="006B6787"/>
    <w:rsid w:val="006B6D94"/>
    <w:rsid w:val="006C383B"/>
    <w:rsid w:val="006C441C"/>
    <w:rsid w:val="006C496F"/>
    <w:rsid w:val="006C6BE6"/>
    <w:rsid w:val="006C7920"/>
    <w:rsid w:val="006C7BD1"/>
    <w:rsid w:val="006D5D44"/>
    <w:rsid w:val="006E0D65"/>
    <w:rsid w:val="006E2DA3"/>
    <w:rsid w:val="006E3CA8"/>
    <w:rsid w:val="006E52B4"/>
    <w:rsid w:val="006E5EE5"/>
    <w:rsid w:val="006E7CCE"/>
    <w:rsid w:val="006F2564"/>
    <w:rsid w:val="006F2801"/>
    <w:rsid w:val="006F4136"/>
    <w:rsid w:val="006F667B"/>
    <w:rsid w:val="006F742C"/>
    <w:rsid w:val="007039C7"/>
    <w:rsid w:val="0071436E"/>
    <w:rsid w:val="007206B5"/>
    <w:rsid w:val="007209E3"/>
    <w:rsid w:val="00722F08"/>
    <w:rsid w:val="00723C86"/>
    <w:rsid w:val="00725D60"/>
    <w:rsid w:val="00726A21"/>
    <w:rsid w:val="00732F2B"/>
    <w:rsid w:val="00734C0F"/>
    <w:rsid w:val="00735AE7"/>
    <w:rsid w:val="00735DD8"/>
    <w:rsid w:val="00737658"/>
    <w:rsid w:val="00737689"/>
    <w:rsid w:val="00737C7E"/>
    <w:rsid w:val="00743B11"/>
    <w:rsid w:val="00744C4E"/>
    <w:rsid w:val="007468E1"/>
    <w:rsid w:val="00750DB7"/>
    <w:rsid w:val="00751122"/>
    <w:rsid w:val="007545AA"/>
    <w:rsid w:val="007551D9"/>
    <w:rsid w:val="00756812"/>
    <w:rsid w:val="00760723"/>
    <w:rsid w:val="00760A95"/>
    <w:rsid w:val="00761ADE"/>
    <w:rsid w:val="00766424"/>
    <w:rsid w:val="00766820"/>
    <w:rsid w:val="007756F1"/>
    <w:rsid w:val="0077610F"/>
    <w:rsid w:val="00776284"/>
    <w:rsid w:val="00780E6D"/>
    <w:rsid w:val="00781B9C"/>
    <w:rsid w:val="007821DA"/>
    <w:rsid w:val="007918A5"/>
    <w:rsid w:val="00791B50"/>
    <w:rsid w:val="00793AFC"/>
    <w:rsid w:val="00794121"/>
    <w:rsid w:val="00796045"/>
    <w:rsid w:val="007A1499"/>
    <w:rsid w:val="007A1C44"/>
    <w:rsid w:val="007A2C55"/>
    <w:rsid w:val="007A3A29"/>
    <w:rsid w:val="007A4683"/>
    <w:rsid w:val="007A480A"/>
    <w:rsid w:val="007A7231"/>
    <w:rsid w:val="007B30EE"/>
    <w:rsid w:val="007B68EA"/>
    <w:rsid w:val="007B6E59"/>
    <w:rsid w:val="007C273D"/>
    <w:rsid w:val="007C2BCA"/>
    <w:rsid w:val="007C713A"/>
    <w:rsid w:val="007D0633"/>
    <w:rsid w:val="007D0EB3"/>
    <w:rsid w:val="007D20ED"/>
    <w:rsid w:val="007D43BD"/>
    <w:rsid w:val="007D5564"/>
    <w:rsid w:val="007D5E68"/>
    <w:rsid w:val="007E0F95"/>
    <w:rsid w:val="007E1D36"/>
    <w:rsid w:val="007E46FE"/>
    <w:rsid w:val="007E4E92"/>
    <w:rsid w:val="007E539D"/>
    <w:rsid w:val="007E65E1"/>
    <w:rsid w:val="007F452B"/>
    <w:rsid w:val="007F7A09"/>
    <w:rsid w:val="00804AED"/>
    <w:rsid w:val="00806780"/>
    <w:rsid w:val="0080692C"/>
    <w:rsid w:val="00810A5C"/>
    <w:rsid w:val="008126B7"/>
    <w:rsid w:val="00813CCE"/>
    <w:rsid w:val="008205BE"/>
    <w:rsid w:val="0082084E"/>
    <w:rsid w:val="00821EDC"/>
    <w:rsid w:val="00825E04"/>
    <w:rsid w:val="0083059C"/>
    <w:rsid w:val="008327FC"/>
    <w:rsid w:val="008344BB"/>
    <w:rsid w:val="008356CA"/>
    <w:rsid w:val="0084196F"/>
    <w:rsid w:val="008428AC"/>
    <w:rsid w:val="00845799"/>
    <w:rsid w:val="00856ED0"/>
    <w:rsid w:val="008636FB"/>
    <w:rsid w:val="00870E3E"/>
    <w:rsid w:val="00871A07"/>
    <w:rsid w:val="0087411D"/>
    <w:rsid w:val="0087583E"/>
    <w:rsid w:val="00877517"/>
    <w:rsid w:val="00880B2B"/>
    <w:rsid w:val="00883A5C"/>
    <w:rsid w:val="0088594D"/>
    <w:rsid w:val="00887233"/>
    <w:rsid w:val="00894D4C"/>
    <w:rsid w:val="008950DC"/>
    <w:rsid w:val="008A4676"/>
    <w:rsid w:val="008A6971"/>
    <w:rsid w:val="008A724B"/>
    <w:rsid w:val="008B0147"/>
    <w:rsid w:val="008B36CF"/>
    <w:rsid w:val="008B3935"/>
    <w:rsid w:val="008C019B"/>
    <w:rsid w:val="008C0230"/>
    <w:rsid w:val="008C42DB"/>
    <w:rsid w:val="008D1835"/>
    <w:rsid w:val="008D4436"/>
    <w:rsid w:val="008D540B"/>
    <w:rsid w:val="008F135B"/>
    <w:rsid w:val="008F2324"/>
    <w:rsid w:val="008F26F9"/>
    <w:rsid w:val="009024DC"/>
    <w:rsid w:val="0091126F"/>
    <w:rsid w:val="009115E1"/>
    <w:rsid w:val="009131A1"/>
    <w:rsid w:val="009163A2"/>
    <w:rsid w:val="00917780"/>
    <w:rsid w:val="0092405A"/>
    <w:rsid w:val="00926472"/>
    <w:rsid w:val="00942E69"/>
    <w:rsid w:val="00944097"/>
    <w:rsid w:val="00944D9D"/>
    <w:rsid w:val="00946637"/>
    <w:rsid w:val="00946A18"/>
    <w:rsid w:val="00946F55"/>
    <w:rsid w:val="00951C64"/>
    <w:rsid w:val="0095544E"/>
    <w:rsid w:val="00956AC9"/>
    <w:rsid w:val="009648EF"/>
    <w:rsid w:val="00975116"/>
    <w:rsid w:val="00985747"/>
    <w:rsid w:val="00986DBD"/>
    <w:rsid w:val="0099299D"/>
    <w:rsid w:val="00993DB2"/>
    <w:rsid w:val="00994359"/>
    <w:rsid w:val="009A27A3"/>
    <w:rsid w:val="009A2A9F"/>
    <w:rsid w:val="009A6E78"/>
    <w:rsid w:val="009B09DD"/>
    <w:rsid w:val="009B2889"/>
    <w:rsid w:val="009B3932"/>
    <w:rsid w:val="009B5135"/>
    <w:rsid w:val="009C21E7"/>
    <w:rsid w:val="009C53B5"/>
    <w:rsid w:val="009C6366"/>
    <w:rsid w:val="009C6C71"/>
    <w:rsid w:val="009D7B2C"/>
    <w:rsid w:val="009E0880"/>
    <w:rsid w:val="009E2107"/>
    <w:rsid w:val="009E2C8B"/>
    <w:rsid w:val="009E5F2E"/>
    <w:rsid w:val="009E5FF4"/>
    <w:rsid w:val="009F2D42"/>
    <w:rsid w:val="00A013AE"/>
    <w:rsid w:val="00A043B7"/>
    <w:rsid w:val="00A04E1D"/>
    <w:rsid w:val="00A07913"/>
    <w:rsid w:val="00A116CC"/>
    <w:rsid w:val="00A12DCD"/>
    <w:rsid w:val="00A12DD0"/>
    <w:rsid w:val="00A1355F"/>
    <w:rsid w:val="00A141A9"/>
    <w:rsid w:val="00A15673"/>
    <w:rsid w:val="00A17353"/>
    <w:rsid w:val="00A205CD"/>
    <w:rsid w:val="00A22F83"/>
    <w:rsid w:val="00A31451"/>
    <w:rsid w:val="00A342C2"/>
    <w:rsid w:val="00A34B09"/>
    <w:rsid w:val="00A363B3"/>
    <w:rsid w:val="00A403CC"/>
    <w:rsid w:val="00A52DDE"/>
    <w:rsid w:val="00A54B82"/>
    <w:rsid w:val="00A65E55"/>
    <w:rsid w:val="00A678E0"/>
    <w:rsid w:val="00A71C68"/>
    <w:rsid w:val="00A75231"/>
    <w:rsid w:val="00A76B13"/>
    <w:rsid w:val="00A8365E"/>
    <w:rsid w:val="00A83778"/>
    <w:rsid w:val="00A879BF"/>
    <w:rsid w:val="00A90071"/>
    <w:rsid w:val="00A9626A"/>
    <w:rsid w:val="00A978A2"/>
    <w:rsid w:val="00AA6F4F"/>
    <w:rsid w:val="00AC2ABB"/>
    <w:rsid w:val="00AC3703"/>
    <w:rsid w:val="00AC3F66"/>
    <w:rsid w:val="00AC5D80"/>
    <w:rsid w:val="00AD3F96"/>
    <w:rsid w:val="00AD4F6D"/>
    <w:rsid w:val="00AD7523"/>
    <w:rsid w:val="00AE020C"/>
    <w:rsid w:val="00AE3C97"/>
    <w:rsid w:val="00AE4011"/>
    <w:rsid w:val="00AE5186"/>
    <w:rsid w:val="00AF3F46"/>
    <w:rsid w:val="00AF4F10"/>
    <w:rsid w:val="00AF6381"/>
    <w:rsid w:val="00B00269"/>
    <w:rsid w:val="00B03B27"/>
    <w:rsid w:val="00B0788F"/>
    <w:rsid w:val="00B10A9B"/>
    <w:rsid w:val="00B1207A"/>
    <w:rsid w:val="00B16524"/>
    <w:rsid w:val="00B16919"/>
    <w:rsid w:val="00B169EA"/>
    <w:rsid w:val="00B17808"/>
    <w:rsid w:val="00B21146"/>
    <w:rsid w:val="00B2118F"/>
    <w:rsid w:val="00B21242"/>
    <w:rsid w:val="00B21D09"/>
    <w:rsid w:val="00B21E4D"/>
    <w:rsid w:val="00B25631"/>
    <w:rsid w:val="00B34091"/>
    <w:rsid w:val="00B34288"/>
    <w:rsid w:val="00B35FD9"/>
    <w:rsid w:val="00B40279"/>
    <w:rsid w:val="00B471C3"/>
    <w:rsid w:val="00B47BCD"/>
    <w:rsid w:val="00B56585"/>
    <w:rsid w:val="00B57375"/>
    <w:rsid w:val="00B60314"/>
    <w:rsid w:val="00B63272"/>
    <w:rsid w:val="00B637CD"/>
    <w:rsid w:val="00B65ADC"/>
    <w:rsid w:val="00B705A3"/>
    <w:rsid w:val="00B707D9"/>
    <w:rsid w:val="00B711AD"/>
    <w:rsid w:val="00B717C4"/>
    <w:rsid w:val="00B7405C"/>
    <w:rsid w:val="00B7423E"/>
    <w:rsid w:val="00B74F67"/>
    <w:rsid w:val="00B75243"/>
    <w:rsid w:val="00B809F0"/>
    <w:rsid w:val="00B82F05"/>
    <w:rsid w:val="00B87861"/>
    <w:rsid w:val="00B87E7E"/>
    <w:rsid w:val="00B90285"/>
    <w:rsid w:val="00B90C12"/>
    <w:rsid w:val="00B90C92"/>
    <w:rsid w:val="00B91466"/>
    <w:rsid w:val="00B926B0"/>
    <w:rsid w:val="00B965A8"/>
    <w:rsid w:val="00B96DD6"/>
    <w:rsid w:val="00BA1352"/>
    <w:rsid w:val="00BA3FC6"/>
    <w:rsid w:val="00BA78FE"/>
    <w:rsid w:val="00BB0396"/>
    <w:rsid w:val="00BB12FE"/>
    <w:rsid w:val="00BB49D2"/>
    <w:rsid w:val="00BB4B7F"/>
    <w:rsid w:val="00BB5076"/>
    <w:rsid w:val="00BC00EB"/>
    <w:rsid w:val="00BC0ECD"/>
    <w:rsid w:val="00BC19E8"/>
    <w:rsid w:val="00BC3F5C"/>
    <w:rsid w:val="00BC642D"/>
    <w:rsid w:val="00BC7E90"/>
    <w:rsid w:val="00BD27B0"/>
    <w:rsid w:val="00BD3A42"/>
    <w:rsid w:val="00BD47E5"/>
    <w:rsid w:val="00BD4EF2"/>
    <w:rsid w:val="00BD7732"/>
    <w:rsid w:val="00BE110B"/>
    <w:rsid w:val="00BE3391"/>
    <w:rsid w:val="00BE3AA4"/>
    <w:rsid w:val="00BE3F05"/>
    <w:rsid w:val="00BE57B8"/>
    <w:rsid w:val="00BE5ED7"/>
    <w:rsid w:val="00BE7EFF"/>
    <w:rsid w:val="00BF1556"/>
    <w:rsid w:val="00C054C1"/>
    <w:rsid w:val="00C075FB"/>
    <w:rsid w:val="00C07932"/>
    <w:rsid w:val="00C1506B"/>
    <w:rsid w:val="00C208D2"/>
    <w:rsid w:val="00C2299C"/>
    <w:rsid w:val="00C233F0"/>
    <w:rsid w:val="00C235EF"/>
    <w:rsid w:val="00C23C16"/>
    <w:rsid w:val="00C25305"/>
    <w:rsid w:val="00C4530F"/>
    <w:rsid w:val="00C46629"/>
    <w:rsid w:val="00C554EF"/>
    <w:rsid w:val="00C60CED"/>
    <w:rsid w:val="00C632E2"/>
    <w:rsid w:val="00C7030D"/>
    <w:rsid w:val="00C71BC1"/>
    <w:rsid w:val="00C74CB4"/>
    <w:rsid w:val="00C74F4D"/>
    <w:rsid w:val="00C758E9"/>
    <w:rsid w:val="00C76B68"/>
    <w:rsid w:val="00C82AF5"/>
    <w:rsid w:val="00C82E71"/>
    <w:rsid w:val="00C93A56"/>
    <w:rsid w:val="00C95A54"/>
    <w:rsid w:val="00C95A84"/>
    <w:rsid w:val="00CA7852"/>
    <w:rsid w:val="00CB0CA3"/>
    <w:rsid w:val="00CC076A"/>
    <w:rsid w:val="00CC12C0"/>
    <w:rsid w:val="00CC3381"/>
    <w:rsid w:val="00CE02EF"/>
    <w:rsid w:val="00CE12B2"/>
    <w:rsid w:val="00CE1D8C"/>
    <w:rsid w:val="00CE7C51"/>
    <w:rsid w:val="00CF07B3"/>
    <w:rsid w:val="00CF1291"/>
    <w:rsid w:val="00CF4CCB"/>
    <w:rsid w:val="00CF4F3B"/>
    <w:rsid w:val="00CF5FA9"/>
    <w:rsid w:val="00D00010"/>
    <w:rsid w:val="00D01B32"/>
    <w:rsid w:val="00D04F3D"/>
    <w:rsid w:val="00D10ED1"/>
    <w:rsid w:val="00D14A55"/>
    <w:rsid w:val="00D30C6F"/>
    <w:rsid w:val="00D429C6"/>
    <w:rsid w:val="00D47484"/>
    <w:rsid w:val="00D512A1"/>
    <w:rsid w:val="00D61F31"/>
    <w:rsid w:val="00D65B57"/>
    <w:rsid w:val="00D713A0"/>
    <w:rsid w:val="00D7187B"/>
    <w:rsid w:val="00D73590"/>
    <w:rsid w:val="00D74452"/>
    <w:rsid w:val="00D746ED"/>
    <w:rsid w:val="00D773D1"/>
    <w:rsid w:val="00D779FC"/>
    <w:rsid w:val="00D80E0F"/>
    <w:rsid w:val="00D83EF8"/>
    <w:rsid w:val="00D8418B"/>
    <w:rsid w:val="00D8443D"/>
    <w:rsid w:val="00D855B1"/>
    <w:rsid w:val="00D86453"/>
    <w:rsid w:val="00D907D7"/>
    <w:rsid w:val="00D931C2"/>
    <w:rsid w:val="00D93700"/>
    <w:rsid w:val="00D94B06"/>
    <w:rsid w:val="00D96895"/>
    <w:rsid w:val="00D9699F"/>
    <w:rsid w:val="00D96CC3"/>
    <w:rsid w:val="00DA4D6F"/>
    <w:rsid w:val="00DB16F2"/>
    <w:rsid w:val="00DB52A6"/>
    <w:rsid w:val="00DC5440"/>
    <w:rsid w:val="00DC66C4"/>
    <w:rsid w:val="00DC74FB"/>
    <w:rsid w:val="00DD0EF9"/>
    <w:rsid w:val="00DD2D14"/>
    <w:rsid w:val="00DD73F3"/>
    <w:rsid w:val="00DE0A56"/>
    <w:rsid w:val="00DE4183"/>
    <w:rsid w:val="00DE5CE7"/>
    <w:rsid w:val="00DE795D"/>
    <w:rsid w:val="00DF0711"/>
    <w:rsid w:val="00DF2558"/>
    <w:rsid w:val="00DF754D"/>
    <w:rsid w:val="00E02638"/>
    <w:rsid w:val="00E05CF5"/>
    <w:rsid w:val="00E075E2"/>
    <w:rsid w:val="00E1205A"/>
    <w:rsid w:val="00E16E86"/>
    <w:rsid w:val="00E20CD7"/>
    <w:rsid w:val="00E21CBB"/>
    <w:rsid w:val="00E244D2"/>
    <w:rsid w:val="00E256CF"/>
    <w:rsid w:val="00E25FF9"/>
    <w:rsid w:val="00E275F5"/>
    <w:rsid w:val="00E3564A"/>
    <w:rsid w:val="00E36D2B"/>
    <w:rsid w:val="00E3712B"/>
    <w:rsid w:val="00E3772E"/>
    <w:rsid w:val="00E4106A"/>
    <w:rsid w:val="00E41201"/>
    <w:rsid w:val="00E41B30"/>
    <w:rsid w:val="00E422F8"/>
    <w:rsid w:val="00E440CD"/>
    <w:rsid w:val="00E445D3"/>
    <w:rsid w:val="00E47F31"/>
    <w:rsid w:val="00E51EE4"/>
    <w:rsid w:val="00E552ED"/>
    <w:rsid w:val="00E56ECD"/>
    <w:rsid w:val="00E60701"/>
    <w:rsid w:val="00E61F9D"/>
    <w:rsid w:val="00E643BE"/>
    <w:rsid w:val="00E75371"/>
    <w:rsid w:val="00E76049"/>
    <w:rsid w:val="00E807DE"/>
    <w:rsid w:val="00E8173F"/>
    <w:rsid w:val="00E81CCC"/>
    <w:rsid w:val="00E81DA1"/>
    <w:rsid w:val="00E83ACA"/>
    <w:rsid w:val="00E847A7"/>
    <w:rsid w:val="00E85578"/>
    <w:rsid w:val="00E913F2"/>
    <w:rsid w:val="00E974D1"/>
    <w:rsid w:val="00E97975"/>
    <w:rsid w:val="00EA1E7B"/>
    <w:rsid w:val="00EA46F9"/>
    <w:rsid w:val="00EB2262"/>
    <w:rsid w:val="00EB244F"/>
    <w:rsid w:val="00EB485A"/>
    <w:rsid w:val="00EB71C3"/>
    <w:rsid w:val="00EB73C5"/>
    <w:rsid w:val="00EC2C99"/>
    <w:rsid w:val="00EC4A15"/>
    <w:rsid w:val="00ED56D7"/>
    <w:rsid w:val="00ED6C90"/>
    <w:rsid w:val="00EE1D6A"/>
    <w:rsid w:val="00EE48CF"/>
    <w:rsid w:val="00EE5368"/>
    <w:rsid w:val="00EF07B2"/>
    <w:rsid w:val="00EF0957"/>
    <w:rsid w:val="00EF766C"/>
    <w:rsid w:val="00F0096B"/>
    <w:rsid w:val="00F009B8"/>
    <w:rsid w:val="00F00F5B"/>
    <w:rsid w:val="00F0768E"/>
    <w:rsid w:val="00F13E0F"/>
    <w:rsid w:val="00F1508A"/>
    <w:rsid w:val="00F201C5"/>
    <w:rsid w:val="00F21AFA"/>
    <w:rsid w:val="00F23884"/>
    <w:rsid w:val="00F26E73"/>
    <w:rsid w:val="00F27D91"/>
    <w:rsid w:val="00F32739"/>
    <w:rsid w:val="00F35D6E"/>
    <w:rsid w:val="00F365D6"/>
    <w:rsid w:val="00F41A50"/>
    <w:rsid w:val="00F4240B"/>
    <w:rsid w:val="00F42FAD"/>
    <w:rsid w:val="00F43901"/>
    <w:rsid w:val="00F44942"/>
    <w:rsid w:val="00F45DED"/>
    <w:rsid w:val="00F51D9A"/>
    <w:rsid w:val="00F52B78"/>
    <w:rsid w:val="00F5670B"/>
    <w:rsid w:val="00F57896"/>
    <w:rsid w:val="00F61A26"/>
    <w:rsid w:val="00F634A8"/>
    <w:rsid w:val="00F713D4"/>
    <w:rsid w:val="00F8063F"/>
    <w:rsid w:val="00F8331B"/>
    <w:rsid w:val="00F90711"/>
    <w:rsid w:val="00F91552"/>
    <w:rsid w:val="00FA326E"/>
    <w:rsid w:val="00FB3BCE"/>
    <w:rsid w:val="00FC0B89"/>
    <w:rsid w:val="00FC5D8D"/>
    <w:rsid w:val="00FD2F95"/>
    <w:rsid w:val="00FD7CE9"/>
    <w:rsid w:val="00FE0A06"/>
    <w:rsid w:val="00FE1C0D"/>
    <w:rsid w:val="00FE3D51"/>
    <w:rsid w:val="00FE5CBC"/>
    <w:rsid w:val="00FE6AF3"/>
    <w:rsid w:val="00FE6C02"/>
    <w:rsid w:val="00FE7E33"/>
    <w:rsid w:val="00FF04DE"/>
    <w:rsid w:val="00FF4F52"/>
    <w:rsid w:val="00FF6955"/>
    <w:rsid w:val="00FF7C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20493C7"/>
  <w15:docId w15:val="{6599E6BA-C8C3-4812-9646-B255994EE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6E6E6E" w:themeColor="background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unhideWhenUsed="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DC5440"/>
    <w:rPr>
      <w:color w:val="000000"/>
      <w:lang w:val="en-CA"/>
    </w:rPr>
  </w:style>
  <w:style w:type="paragraph" w:styleId="Heading1">
    <w:name w:val="heading 1"/>
    <w:aliases w:val="Heading 1 Chapter"/>
    <w:basedOn w:val="Normal"/>
    <w:next w:val="BodyText125"/>
    <w:link w:val="Heading1Char"/>
    <w:autoRedefine/>
    <w:qFormat/>
    <w:rsid w:val="00F5670B"/>
    <w:pPr>
      <w:keepNext/>
      <w:keepLines/>
      <w:numPr>
        <w:numId w:val="4"/>
      </w:numPr>
      <w:spacing w:after="240"/>
      <w:outlineLvl w:val="0"/>
    </w:pPr>
    <w:rPr>
      <w:rFonts w:eastAsiaTheme="majorEastAsia" w:cstheme="majorBidi"/>
      <w:sz w:val="40"/>
      <w:szCs w:val="48"/>
      <w:lang w:eastAsia="ja-JP"/>
    </w:rPr>
  </w:style>
  <w:style w:type="paragraph" w:styleId="Heading2">
    <w:name w:val="heading 2"/>
    <w:aliases w:val="Heading 2 Subsection 1"/>
    <w:basedOn w:val="Normal"/>
    <w:next w:val="BodyText125"/>
    <w:link w:val="Heading2Char"/>
    <w:qFormat/>
    <w:rsid w:val="001202FC"/>
    <w:pPr>
      <w:keepNext/>
      <w:keepLines/>
      <w:numPr>
        <w:ilvl w:val="1"/>
        <w:numId w:val="4"/>
      </w:numPr>
      <w:pBdr>
        <w:bottom w:val="single" w:sz="4" w:space="10" w:color="7A97AB" w:themeColor="text2"/>
      </w:pBdr>
      <w:spacing w:after="240"/>
      <w:outlineLvl w:val="1"/>
    </w:pPr>
    <w:rPr>
      <w:rFonts w:eastAsiaTheme="majorEastAsia" w:cstheme="majorBidi"/>
      <w:b/>
      <w:sz w:val="32"/>
      <w:szCs w:val="32"/>
      <w:lang w:eastAsia="ja-JP"/>
    </w:rPr>
  </w:style>
  <w:style w:type="paragraph" w:styleId="Heading3">
    <w:name w:val="heading 3"/>
    <w:aliases w:val="Heading 3 Subsection 2"/>
    <w:basedOn w:val="Normal"/>
    <w:next w:val="BodyText125"/>
    <w:link w:val="Heading3Char"/>
    <w:qFormat/>
    <w:rsid w:val="001202FC"/>
    <w:pPr>
      <w:keepNext/>
      <w:keepLines/>
      <w:numPr>
        <w:ilvl w:val="2"/>
        <w:numId w:val="4"/>
      </w:numPr>
      <w:spacing w:after="240"/>
      <w:outlineLvl w:val="2"/>
    </w:pPr>
    <w:rPr>
      <w:rFonts w:eastAsiaTheme="majorEastAsia" w:cstheme="majorBidi"/>
      <w:b/>
      <w:i/>
      <w:sz w:val="28"/>
      <w:lang w:eastAsia="ja-JP"/>
    </w:rPr>
  </w:style>
  <w:style w:type="paragraph" w:styleId="Heading4">
    <w:name w:val="heading 4"/>
    <w:aliases w:val="Heading 4 Subsection 3"/>
    <w:basedOn w:val="Normal"/>
    <w:next w:val="BodyText125"/>
    <w:link w:val="Heading4Char"/>
    <w:qFormat/>
    <w:rsid w:val="001202FC"/>
    <w:pPr>
      <w:keepNext/>
      <w:keepLines/>
      <w:numPr>
        <w:ilvl w:val="3"/>
        <w:numId w:val="4"/>
      </w:numPr>
      <w:spacing w:after="240"/>
      <w:ind w:left="1138" w:hanging="1138"/>
      <w:outlineLvl w:val="3"/>
    </w:pPr>
    <w:rPr>
      <w:rFonts w:eastAsiaTheme="majorEastAsia" w:cstheme="majorBidi"/>
      <w:i/>
      <w:iCs/>
      <w:sz w:val="28"/>
      <w:lang w:eastAsia="ja-JP"/>
    </w:rPr>
  </w:style>
  <w:style w:type="paragraph" w:styleId="Heading5">
    <w:name w:val="heading 5"/>
    <w:aliases w:val="Heading 5 Subsection 4"/>
    <w:basedOn w:val="Normal"/>
    <w:next w:val="BodyText125"/>
    <w:link w:val="Heading5Char"/>
    <w:qFormat/>
    <w:rsid w:val="00E552ED"/>
    <w:pPr>
      <w:keepNext/>
      <w:keepLines/>
      <w:numPr>
        <w:ilvl w:val="4"/>
        <w:numId w:val="4"/>
      </w:numPr>
      <w:spacing w:after="240"/>
      <w:ind w:left="1253" w:hanging="1253"/>
      <w:outlineLvl w:val="4"/>
    </w:pPr>
    <w:rPr>
      <w:rFonts w:eastAsiaTheme="majorEastAsia" w:cstheme="majorBidi"/>
      <w:b/>
      <w:lang w:eastAsia="ja-JP"/>
    </w:rPr>
  </w:style>
  <w:style w:type="paragraph" w:styleId="Heading6">
    <w:name w:val="heading 6"/>
    <w:aliases w:val="Heading 6 Subsection 5"/>
    <w:basedOn w:val="Normal"/>
    <w:next w:val="Normal"/>
    <w:link w:val="Heading6Char"/>
    <w:unhideWhenUsed/>
    <w:qFormat/>
    <w:rsid w:val="00E552ED"/>
    <w:pPr>
      <w:keepNext/>
      <w:keepLines/>
      <w:numPr>
        <w:ilvl w:val="5"/>
        <w:numId w:val="4"/>
      </w:numPr>
      <w:spacing w:after="240"/>
      <w:ind w:left="1526" w:hanging="1526"/>
      <w:outlineLvl w:val="5"/>
    </w:pPr>
    <w:rPr>
      <w:rFonts w:eastAsiaTheme="majorEastAsia" w:cstheme="majorBidi"/>
      <w:caps/>
      <w:lang w:eastAsia="ja-JP"/>
    </w:rPr>
  </w:style>
  <w:style w:type="paragraph" w:styleId="Heading7">
    <w:name w:val="heading 7"/>
    <w:basedOn w:val="Normal"/>
    <w:next w:val="Normal"/>
    <w:link w:val="Heading7Char"/>
    <w:unhideWhenUsed/>
    <w:rsid w:val="004C4C88"/>
    <w:pPr>
      <w:keepNext/>
      <w:keepLines/>
      <w:outlineLvl w:val="6"/>
    </w:pPr>
    <w:rPr>
      <w:rFonts w:ascii="Cambria" w:hAnsi="Cambria"/>
      <w:i/>
      <w:iCs/>
      <w:color w:val="404040"/>
    </w:rPr>
  </w:style>
  <w:style w:type="paragraph" w:styleId="Heading8">
    <w:name w:val="heading 8"/>
    <w:basedOn w:val="Normal"/>
    <w:next w:val="Normal"/>
    <w:link w:val="Heading8Char"/>
    <w:unhideWhenUsed/>
    <w:rsid w:val="004C4C88"/>
    <w:pPr>
      <w:keepNext/>
      <w:keepLines/>
      <w:outlineLvl w:val="7"/>
    </w:pPr>
    <w:rPr>
      <w:rFonts w:ascii="Cambria" w:hAnsi="Cambria"/>
      <w:color w:val="404040"/>
      <w:sz w:val="20"/>
    </w:rPr>
  </w:style>
  <w:style w:type="paragraph" w:styleId="Heading9">
    <w:name w:val="heading 9"/>
    <w:basedOn w:val="Normal"/>
    <w:next w:val="Normal"/>
    <w:link w:val="Heading9Char"/>
    <w:unhideWhenUsed/>
    <w:rsid w:val="004C4C88"/>
    <w:pPr>
      <w:keepNext/>
      <w:keepLines/>
      <w:outlineLvl w:val="8"/>
    </w:pPr>
    <w:rPr>
      <w:rFonts w:ascii="Cambria" w:hAnsi="Cambria"/>
      <w:i/>
      <w:iCs/>
      <w:color w:val="40404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pter Char"/>
    <w:basedOn w:val="DefaultParagraphFont"/>
    <w:link w:val="Heading1"/>
    <w:rsid w:val="00F009B8"/>
    <w:rPr>
      <w:rFonts w:eastAsiaTheme="majorEastAsia" w:cstheme="majorBidi"/>
      <w:color w:val="000000"/>
      <w:sz w:val="40"/>
      <w:szCs w:val="48"/>
      <w:lang w:val="en-CA" w:eastAsia="ja-JP"/>
    </w:rPr>
  </w:style>
  <w:style w:type="character" w:customStyle="1" w:styleId="Heading2Char">
    <w:name w:val="Heading 2 Char"/>
    <w:aliases w:val="Heading 2 Subsection 1 Char"/>
    <w:basedOn w:val="DefaultParagraphFont"/>
    <w:link w:val="Heading2"/>
    <w:rsid w:val="00F009B8"/>
    <w:rPr>
      <w:rFonts w:eastAsiaTheme="majorEastAsia" w:cstheme="majorBidi"/>
      <w:b/>
      <w:color w:val="000000"/>
      <w:sz w:val="32"/>
      <w:szCs w:val="32"/>
      <w:lang w:val="en-CA" w:eastAsia="ja-JP"/>
    </w:rPr>
  </w:style>
  <w:style w:type="character" w:customStyle="1" w:styleId="Heading6Char">
    <w:name w:val="Heading 6 Char"/>
    <w:aliases w:val="Heading 6 Subsection 5 Char"/>
    <w:basedOn w:val="DefaultParagraphFont"/>
    <w:link w:val="Heading6"/>
    <w:rsid w:val="00F009B8"/>
    <w:rPr>
      <w:rFonts w:eastAsiaTheme="majorEastAsia" w:cstheme="majorBidi"/>
      <w:caps/>
      <w:color w:val="000000"/>
      <w:lang w:val="en-CA" w:eastAsia="ja-JP"/>
    </w:rPr>
  </w:style>
  <w:style w:type="paragraph" w:customStyle="1" w:styleId="AppendixHeading">
    <w:name w:val="Appendix Heading"/>
    <w:basedOn w:val="Heading6"/>
    <w:link w:val="AppendixHeadingChar"/>
    <w:unhideWhenUsed/>
    <w:rsid w:val="004C4C88"/>
    <w:pPr>
      <w:contextualSpacing/>
    </w:pPr>
    <w:rPr>
      <w:sz w:val="40"/>
    </w:rPr>
  </w:style>
  <w:style w:type="character" w:customStyle="1" w:styleId="AppendixHeadingChar">
    <w:name w:val="Appendix Heading Char"/>
    <w:link w:val="AppendixHeading"/>
    <w:rsid w:val="00F009B8"/>
    <w:rPr>
      <w:rFonts w:eastAsiaTheme="majorEastAsia" w:cstheme="majorBidi"/>
      <w:caps/>
      <w:color w:val="000000"/>
      <w:sz w:val="40"/>
      <w:lang w:val="en-CA" w:eastAsia="ja-JP"/>
    </w:rPr>
  </w:style>
  <w:style w:type="paragraph" w:styleId="BalloonText">
    <w:name w:val="Balloon Text"/>
    <w:basedOn w:val="Normal"/>
    <w:link w:val="BalloonTextChar"/>
    <w:uiPriority w:val="99"/>
    <w:semiHidden/>
    <w:unhideWhenUsed/>
    <w:rsid w:val="004C4C88"/>
    <w:rPr>
      <w:rFonts w:ascii="Tahoma" w:hAnsi="Tahoma"/>
      <w:sz w:val="16"/>
      <w:szCs w:val="16"/>
      <w:lang w:eastAsia="x-none"/>
    </w:rPr>
  </w:style>
  <w:style w:type="character" w:customStyle="1" w:styleId="BalloonTextChar">
    <w:name w:val="Balloon Text Char"/>
    <w:link w:val="BalloonText"/>
    <w:uiPriority w:val="99"/>
    <w:semiHidden/>
    <w:rsid w:val="004C4C88"/>
    <w:rPr>
      <w:rFonts w:ascii="Tahoma" w:eastAsia="Times New Roman" w:hAnsi="Tahoma" w:cs="Times New Roman"/>
      <w:color w:val="auto"/>
      <w:sz w:val="16"/>
      <w:szCs w:val="16"/>
      <w:lang w:val="en-CA" w:eastAsia="x-none"/>
    </w:rPr>
  </w:style>
  <w:style w:type="paragraph" w:customStyle="1" w:styleId="BodyTextbulletsss">
    <w:name w:val="BodyText bullets (ss)"/>
    <w:basedOn w:val="BodyTextbullets125"/>
    <w:qFormat/>
    <w:rsid w:val="009648EF"/>
    <w:pPr>
      <w:spacing w:line="240" w:lineRule="auto"/>
    </w:pPr>
  </w:style>
  <w:style w:type="paragraph" w:customStyle="1" w:styleId="Captions">
    <w:name w:val="Captions"/>
    <w:basedOn w:val="BodyText125"/>
    <w:link w:val="CaptionsChar"/>
    <w:autoRedefine/>
    <w:uiPriority w:val="3"/>
    <w:qFormat/>
    <w:rsid w:val="00B57375"/>
    <w:pPr>
      <w:spacing w:line="240" w:lineRule="auto"/>
    </w:pPr>
  </w:style>
  <w:style w:type="paragraph" w:customStyle="1" w:styleId="BasicParagraph">
    <w:name w:val="[Basic Paragraph]"/>
    <w:basedOn w:val="Normal"/>
    <w:uiPriority w:val="99"/>
    <w:rsid w:val="004C4C88"/>
    <w:pPr>
      <w:widowControl w:val="0"/>
      <w:autoSpaceDE w:val="0"/>
      <w:autoSpaceDN w:val="0"/>
      <w:adjustRightInd w:val="0"/>
      <w:spacing w:line="288" w:lineRule="auto"/>
      <w:textAlignment w:val="center"/>
    </w:pPr>
    <w:rPr>
      <w:rFonts w:ascii="MinionPro-Regular" w:hAnsi="MinionPro-Regular" w:cs="MinionPro-Regular"/>
    </w:rPr>
  </w:style>
  <w:style w:type="paragraph" w:customStyle="1" w:styleId="BodyText125">
    <w:name w:val="BodyText (1.25)"/>
    <w:basedOn w:val="Normal"/>
    <w:link w:val="BodyText125Char"/>
    <w:qFormat/>
    <w:rsid w:val="006A447D"/>
    <w:pPr>
      <w:spacing w:after="240" w:line="300" w:lineRule="auto"/>
    </w:pPr>
    <w:rPr>
      <w:rFonts w:eastAsia="Times New Roman"/>
    </w:rPr>
  </w:style>
  <w:style w:type="character" w:customStyle="1" w:styleId="BodyText125Char">
    <w:name w:val="BodyText (1.25) Char"/>
    <w:link w:val="BodyText125"/>
    <w:rsid w:val="00F42FAD"/>
    <w:rPr>
      <w:rFonts w:eastAsia="Times New Roman"/>
      <w:lang w:val="en-CA"/>
    </w:rPr>
  </w:style>
  <w:style w:type="paragraph" w:customStyle="1" w:styleId="BodyTextbullets125">
    <w:name w:val="BodyText bullets (1.25)"/>
    <w:basedOn w:val="BodyText125"/>
    <w:link w:val="BodyTextbullets125Char"/>
    <w:qFormat/>
    <w:rsid w:val="009648EF"/>
    <w:pPr>
      <w:numPr>
        <w:numId w:val="1"/>
      </w:numPr>
      <w:contextualSpacing/>
    </w:pPr>
  </w:style>
  <w:style w:type="character" w:customStyle="1" w:styleId="BodyTextbullets125Char">
    <w:name w:val="BodyText bullets (1.25) Char"/>
    <w:link w:val="BodyTextbullets125"/>
    <w:rsid w:val="009648EF"/>
    <w:rPr>
      <w:rFonts w:eastAsia="Times New Roman"/>
      <w:color w:val="000000"/>
      <w:lang w:val="en-CA"/>
    </w:rPr>
  </w:style>
  <w:style w:type="paragraph" w:customStyle="1" w:styleId="BodyTextss">
    <w:name w:val="BodyText (ss)"/>
    <w:basedOn w:val="BodyText125"/>
    <w:link w:val="BodyTextssChar"/>
    <w:qFormat/>
    <w:rsid w:val="00240FBF"/>
    <w:pPr>
      <w:spacing w:line="240" w:lineRule="auto"/>
    </w:pPr>
  </w:style>
  <w:style w:type="character" w:customStyle="1" w:styleId="BodyTextssChar">
    <w:name w:val="BodyText (ss) Char"/>
    <w:link w:val="BodyTextss"/>
    <w:rsid w:val="00240FBF"/>
    <w:rPr>
      <w:rFonts w:eastAsia="Times New Roman"/>
      <w:lang w:val="en-CA"/>
    </w:rPr>
  </w:style>
  <w:style w:type="character" w:customStyle="1" w:styleId="CaptionsChar">
    <w:name w:val="Captions Char"/>
    <w:basedOn w:val="DefaultParagraphFont"/>
    <w:link w:val="Captions"/>
    <w:uiPriority w:val="3"/>
    <w:rsid w:val="00B57375"/>
    <w:rPr>
      <w:rFonts w:eastAsia="Times New Roman"/>
      <w:color w:val="000000"/>
      <w:lang w:val="en-CA"/>
    </w:rPr>
  </w:style>
  <w:style w:type="character" w:customStyle="1" w:styleId="Heading5Char">
    <w:name w:val="Heading 5 Char"/>
    <w:aliases w:val="Heading 5 Subsection 4 Char"/>
    <w:basedOn w:val="DefaultParagraphFont"/>
    <w:link w:val="Heading5"/>
    <w:rsid w:val="00F009B8"/>
    <w:rPr>
      <w:rFonts w:eastAsiaTheme="majorEastAsia" w:cstheme="majorBidi"/>
      <w:b/>
      <w:color w:val="000000"/>
      <w:lang w:val="en-CA" w:eastAsia="ja-JP"/>
    </w:rPr>
  </w:style>
  <w:style w:type="character" w:customStyle="1" w:styleId="Heading3Char">
    <w:name w:val="Heading 3 Char"/>
    <w:aliases w:val="Heading 3 Subsection 2 Char"/>
    <w:basedOn w:val="DefaultParagraphFont"/>
    <w:link w:val="Heading3"/>
    <w:rsid w:val="00F009B8"/>
    <w:rPr>
      <w:rFonts w:eastAsiaTheme="majorEastAsia" w:cstheme="majorBidi"/>
      <w:b/>
      <w:i/>
      <w:color w:val="000000"/>
      <w:sz w:val="28"/>
      <w:lang w:val="en-CA" w:eastAsia="ja-JP"/>
    </w:rPr>
  </w:style>
  <w:style w:type="character" w:customStyle="1" w:styleId="Heading4Char">
    <w:name w:val="Heading 4 Char"/>
    <w:aliases w:val="Heading 4 Subsection 3 Char"/>
    <w:basedOn w:val="DefaultParagraphFont"/>
    <w:link w:val="Heading4"/>
    <w:rsid w:val="00F009B8"/>
    <w:rPr>
      <w:rFonts w:eastAsiaTheme="majorEastAsia" w:cstheme="majorBidi"/>
      <w:i/>
      <w:iCs/>
      <w:color w:val="000000"/>
      <w:sz w:val="28"/>
      <w:lang w:val="en-CA" w:eastAsia="ja-JP"/>
    </w:rPr>
  </w:style>
  <w:style w:type="paragraph" w:customStyle="1" w:styleId="FigureTableTitles">
    <w:name w:val="Figure/Table Titles"/>
    <w:basedOn w:val="BodyTextss"/>
    <w:link w:val="FigureTableTitlesChar"/>
    <w:uiPriority w:val="1"/>
    <w:qFormat/>
    <w:rsid w:val="0009769E"/>
    <w:pPr>
      <w:keepNext/>
      <w:contextualSpacing/>
      <w:jc w:val="center"/>
    </w:pPr>
  </w:style>
  <w:style w:type="character" w:customStyle="1" w:styleId="FigureTableTitlesChar">
    <w:name w:val="Figure/Table Titles Char"/>
    <w:link w:val="FigureTableTitles"/>
    <w:uiPriority w:val="1"/>
    <w:rsid w:val="00F009B8"/>
    <w:rPr>
      <w:rFonts w:eastAsia="Times New Roman"/>
      <w:lang w:val="en-CA"/>
    </w:rPr>
  </w:style>
  <w:style w:type="paragraph" w:styleId="Footer">
    <w:name w:val="footer"/>
    <w:basedOn w:val="Normal"/>
    <w:link w:val="FooterChar"/>
    <w:uiPriority w:val="99"/>
    <w:rsid w:val="004C4C88"/>
    <w:pPr>
      <w:tabs>
        <w:tab w:val="center" w:pos="4320"/>
        <w:tab w:val="right" w:pos="8640"/>
      </w:tabs>
    </w:pPr>
  </w:style>
  <w:style w:type="character" w:customStyle="1" w:styleId="FooterChar">
    <w:name w:val="Footer Char"/>
    <w:link w:val="Footer"/>
    <w:uiPriority w:val="99"/>
    <w:rsid w:val="00F009B8"/>
    <w:rPr>
      <w:lang w:val="en-CA"/>
    </w:rPr>
  </w:style>
  <w:style w:type="paragraph" w:customStyle="1" w:styleId="Footnote">
    <w:name w:val="Footnote"/>
    <w:basedOn w:val="BodyTextss"/>
    <w:link w:val="FootnoteChar"/>
    <w:autoRedefine/>
    <w:uiPriority w:val="4"/>
    <w:qFormat/>
    <w:rsid w:val="001D22C0"/>
    <w:pPr>
      <w:framePr w:hSpace="180" w:wrap="around" w:vAnchor="page" w:hAnchor="page" w:x="1439" w:y="14415"/>
      <w:spacing w:after="0"/>
    </w:pPr>
    <w:rPr>
      <w:rFonts w:asciiTheme="minorHAnsi" w:eastAsiaTheme="majorEastAsia" w:hAnsiTheme="minorHAnsi"/>
      <w:bdr w:val="single" w:sz="4" w:space="0" w:color="FFFFFF" w:themeColor="background1"/>
      <w:lang w:val="en-US" w:eastAsia="zh-TW"/>
    </w:rPr>
  </w:style>
  <w:style w:type="character" w:customStyle="1" w:styleId="FootnoteChar">
    <w:name w:val="Footnote Char"/>
    <w:link w:val="Footnote"/>
    <w:uiPriority w:val="4"/>
    <w:rsid w:val="00FF6955"/>
    <w:rPr>
      <w:rFonts w:asciiTheme="minorHAnsi" w:eastAsiaTheme="majorEastAsia" w:hAnsiTheme="minorHAnsi"/>
      <w:bdr w:val="single" w:sz="4" w:space="0" w:color="FFFFFF" w:themeColor="background1"/>
      <w:lang w:eastAsia="zh-TW"/>
    </w:rPr>
  </w:style>
  <w:style w:type="character" w:styleId="FootnoteReference">
    <w:name w:val="footnote reference"/>
    <w:uiPriority w:val="99"/>
    <w:semiHidden/>
    <w:unhideWhenUsed/>
    <w:rsid w:val="004C4C88"/>
    <w:rPr>
      <w:vertAlign w:val="superscript"/>
    </w:rPr>
  </w:style>
  <w:style w:type="paragraph" w:styleId="FootnoteText">
    <w:name w:val="footnote text"/>
    <w:basedOn w:val="BodyTextss"/>
    <w:link w:val="FootnoteTextChar"/>
    <w:autoRedefine/>
    <w:semiHidden/>
    <w:rsid w:val="004C4C88"/>
    <w:pPr>
      <w:spacing w:after="0"/>
    </w:pPr>
  </w:style>
  <w:style w:type="character" w:customStyle="1" w:styleId="FootnoteTextChar">
    <w:name w:val="Footnote Text Char"/>
    <w:basedOn w:val="DefaultParagraphFont"/>
    <w:link w:val="FootnoteText"/>
    <w:semiHidden/>
    <w:rsid w:val="004C4C88"/>
    <w:rPr>
      <w:rFonts w:eastAsia="Times New Roman" w:cs="Arial"/>
      <w:color w:val="auto"/>
      <w:szCs w:val="20"/>
      <w:lang w:val="en-CA"/>
    </w:rPr>
  </w:style>
  <w:style w:type="character" w:customStyle="1" w:styleId="Heading7Char">
    <w:name w:val="Heading 7 Char"/>
    <w:link w:val="Heading7"/>
    <w:rsid w:val="00F009B8"/>
    <w:rPr>
      <w:rFonts w:ascii="Cambria" w:hAnsi="Cambria"/>
      <w:i/>
      <w:iCs/>
      <w:color w:val="404040"/>
      <w:lang w:val="en-CA"/>
    </w:rPr>
  </w:style>
  <w:style w:type="character" w:customStyle="1" w:styleId="Heading8Char">
    <w:name w:val="Heading 8 Char"/>
    <w:link w:val="Heading8"/>
    <w:rsid w:val="00F009B8"/>
    <w:rPr>
      <w:rFonts w:ascii="Cambria" w:hAnsi="Cambria"/>
      <w:color w:val="404040"/>
      <w:sz w:val="20"/>
      <w:lang w:val="en-CA"/>
    </w:rPr>
  </w:style>
  <w:style w:type="character" w:customStyle="1" w:styleId="Heading9Char">
    <w:name w:val="Heading 9 Char"/>
    <w:link w:val="Heading9"/>
    <w:rsid w:val="00F009B8"/>
    <w:rPr>
      <w:rFonts w:ascii="Cambria" w:hAnsi="Cambria"/>
      <w:i/>
      <w:iCs/>
      <w:color w:val="404040"/>
      <w:sz w:val="20"/>
      <w:lang w:val="en-CA"/>
    </w:rPr>
  </w:style>
  <w:style w:type="character" w:styleId="Hyperlink">
    <w:name w:val="Hyperlink"/>
    <w:uiPriority w:val="99"/>
    <w:unhideWhenUsed/>
    <w:rsid w:val="004C4C88"/>
    <w:rPr>
      <w:color w:val="0000FF"/>
      <w:u w:val="single"/>
    </w:rPr>
  </w:style>
  <w:style w:type="paragraph" w:styleId="ListParagraph">
    <w:name w:val="List Paragraph"/>
    <w:aliases w:val="Title APP Name"/>
    <w:basedOn w:val="Normal"/>
    <w:link w:val="ListParagraphChar"/>
    <w:uiPriority w:val="34"/>
    <w:rsid w:val="004C4C88"/>
    <w:pPr>
      <w:numPr>
        <w:numId w:val="2"/>
      </w:numPr>
      <w:jc w:val="center"/>
      <w:outlineLvl w:val="0"/>
    </w:pPr>
    <w:rPr>
      <w:b/>
      <w:bCs/>
      <w:iCs/>
      <w:sz w:val="40"/>
      <w:szCs w:val="28"/>
      <w:lang w:val="en-GB"/>
    </w:rPr>
  </w:style>
  <w:style w:type="character" w:customStyle="1" w:styleId="ListParagraphChar">
    <w:name w:val="List Paragraph Char"/>
    <w:aliases w:val="Title APP Name Char"/>
    <w:link w:val="ListParagraph"/>
    <w:uiPriority w:val="34"/>
    <w:rsid w:val="004C4C88"/>
    <w:rPr>
      <w:b/>
      <w:bCs/>
      <w:iCs/>
      <w:color w:val="000000"/>
      <w:sz w:val="40"/>
      <w:szCs w:val="28"/>
      <w:lang w:val="en-GB"/>
    </w:rPr>
  </w:style>
  <w:style w:type="paragraph" w:customStyle="1" w:styleId="MinorTitle">
    <w:name w:val="Minor Title"/>
    <w:basedOn w:val="BodyTextss"/>
    <w:link w:val="MinorTitleChar"/>
    <w:uiPriority w:val="1"/>
    <w:qFormat/>
    <w:rsid w:val="004C4C88"/>
    <w:pPr>
      <w:jc w:val="center"/>
    </w:pPr>
    <w:rPr>
      <w:b/>
      <w:sz w:val="32"/>
      <w:szCs w:val="32"/>
    </w:rPr>
  </w:style>
  <w:style w:type="character" w:customStyle="1" w:styleId="MinorTitleChar">
    <w:name w:val="Minor Title Char"/>
    <w:link w:val="MinorTitle"/>
    <w:uiPriority w:val="1"/>
    <w:rsid w:val="00FF6955"/>
    <w:rPr>
      <w:rFonts w:eastAsia="Times New Roman"/>
      <w:b/>
      <w:sz w:val="32"/>
      <w:szCs w:val="32"/>
      <w:lang w:val="en-CA"/>
    </w:rPr>
  </w:style>
  <w:style w:type="character" w:styleId="PageNumber">
    <w:name w:val="page number"/>
    <w:basedOn w:val="DefaultParagraphFont"/>
    <w:semiHidden/>
    <w:rsid w:val="004C4C88"/>
  </w:style>
  <w:style w:type="paragraph" w:styleId="Quote">
    <w:name w:val="Quote"/>
    <w:basedOn w:val="BodyTextss"/>
    <w:next w:val="Normal"/>
    <w:link w:val="QuoteChar"/>
    <w:uiPriority w:val="1"/>
    <w:qFormat/>
    <w:rsid w:val="001B0137"/>
    <w:pPr>
      <w:ind w:left="720" w:right="720"/>
    </w:pPr>
    <w:rPr>
      <w:iCs/>
    </w:rPr>
  </w:style>
  <w:style w:type="character" w:customStyle="1" w:styleId="QuoteChar">
    <w:name w:val="Quote Char"/>
    <w:link w:val="Quote"/>
    <w:uiPriority w:val="1"/>
    <w:rsid w:val="00FF6955"/>
    <w:rPr>
      <w:rFonts w:eastAsia="Times New Roman"/>
      <w:iCs/>
      <w:lang w:val="en-CA"/>
    </w:rPr>
  </w:style>
  <w:style w:type="paragraph" w:styleId="TOC1">
    <w:name w:val="toc 1"/>
    <w:basedOn w:val="Normal"/>
    <w:next w:val="Normal"/>
    <w:link w:val="TOC1Char"/>
    <w:autoRedefine/>
    <w:uiPriority w:val="39"/>
    <w:unhideWhenUsed/>
    <w:rsid w:val="00993DB2"/>
    <w:pPr>
      <w:tabs>
        <w:tab w:val="right" w:leader="dot" w:pos="9350"/>
      </w:tabs>
      <w:spacing w:before="120"/>
      <w:ind w:left="720" w:right="720" w:hanging="720"/>
    </w:pPr>
    <w:rPr>
      <w:rFonts w:asciiTheme="minorHAnsi" w:hAnsiTheme="minorHAnsi" w:cstheme="minorHAnsi"/>
      <w:b/>
      <w:bCs/>
      <w:szCs w:val="20"/>
    </w:rPr>
  </w:style>
  <w:style w:type="character" w:customStyle="1" w:styleId="TOC1Char">
    <w:name w:val="TOC 1 Char"/>
    <w:link w:val="TOC1"/>
    <w:uiPriority w:val="39"/>
    <w:rsid w:val="00993DB2"/>
    <w:rPr>
      <w:rFonts w:asciiTheme="minorHAnsi" w:hAnsiTheme="minorHAnsi" w:cstheme="minorHAnsi"/>
      <w:b/>
      <w:bCs/>
      <w:szCs w:val="20"/>
      <w:lang w:val="en-CA"/>
    </w:rPr>
  </w:style>
  <w:style w:type="paragraph" w:customStyle="1" w:styleId="TableofContents">
    <w:name w:val="Table of Contents"/>
    <w:basedOn w:val="TOC1"/>
    <w:link w:val="TableofContentsChar"/>
    <w:uiPriority w:val="2"/>
    <w:qFormat/>
    <w:rsid w:val="00D86453"/>
  </w:style>
  <w:style w:type="character" w:customStyle="1" w:styleId="TableofContentsChar">
    <w:name w:val="Table of Contents Char"/>
    <w:link w:val="TableofContents"/>
    <w:uiPriority w:val="2"/>
    <w:rsid w:val="00FF6955"/>
    <w:rPr>
      <w:rFonts w:asciiTheme="minorHAnsi" w:hAnsiTheme="minorHAnsi" w:cstheme="minorHAnsi"/>
      <w:b/>
      <w:bCs/>
      <w:szCs w:val="20"/>
      <w:lang w:val="en-CA"/>
    </w:rPr>
  </w:style>
  <w:style w:type="paragraph" w:customStyle="1" w:styleId="APP1stpage">
    <w:name w:val="APP 1st page"/>
    <w:basedOn w:val="AppendixHeading"/>
    <w:link w:val="APP1stpageChar"/>
    <w:uiPriority w:val="4"/>
    <w:qFormat/>
    <w:rsid w:val="00A043B7"/>
    <w:pPr>
      <w:numPr>
        <w:ilvl w:val="0"/>
        <w:numId w:val="0"/>
      </w:numPr>
      <w:outlineLvl w:val="9"/>
    </w:pPr>
    <w:rPr>
      <w:caps w:val="0"/>
      <w:sz w:val="44"/>
    </w:rPr>
  </w:style>
  <w:style w:type="character" w:customStyle="1" w:styleId="APP1stpageChar">
    <w:name w:val="APP 1st page Char"/>
    <w:link w:val="APP1stpage"/>
    <w:uiPriority w:val="4"/>
    <w:rsid w:val="00FF6955"/>
    <w:rPr>
      <w:rFonts w:eastAsiaTheme="majorEastAsia" w:cstheme="majorBidi"/>
      <w:sz w:val="44"/>
      <w:lang w:val="en-CA" w:eastAsia="ja-JP"/>
    </w:rPr>
  </w:style>
  <w:style w:type="paragraph" w:customStyle="1" w:styleId="TitleAPPENDIXdiv">
    <w:name w:val="Title APPENDIX div"/>
    <w:basedOn w:val="ListParagraph"/>
    <w:link w:val="TitleAPPENDIXdivChar"/>
    <w:semiHidden/>
    <w:rsid w:val="001B0137"/>
    <w:pPr>
      <w:numPr>
        <w:numId w:val="0"/>
      </w:numPr>
    </w:pPr>
    <w:rPr>
      <w:b w:val="0"/>
      <w:sz w:val="44"/>
    </w:rPr>
  </w:style>
  <w:style w:type="character" w:customStyle="1" w:styleId="TitleAPPENDIXdivChar">
    <w:name w:val="Title APPENDIX div Char"/>
    <w:link w:val="TitleAPPENDIXdiv"/>
    <w:semiHidden/>
    <w:rsid w:val="0054675E"/>
    <w:rPr>
      <w:bCs/>
      <w:iCs/>
      <w:sz w:val="44"/>
      <w:szCs w:val="28"/>
      <w:lang w:val="en-GB"/>
    </w:rPr>
  </w:style>
  <w:style w:type="paragraph" w:customStyle="1" w:styleId="TitleforTablesorFigures">
    <w:name w:val="Title for Tables or Figures"/>
    <w:basedOn w:val="ListParagraph"/>
    <w:link w:val="TitleforTablesorFiguresChar"/>
    <w:uiPriority w:val="3"/>
    <w:qFormat/>
    <w:rsid w:val="006A447D"/>
    <w:pPr>
      <w:ind w:left="0" w:firstLine="0"/>
    </w:pPr>
    <w:rPr>
      <w:b w:val="0"/>
      <w:sz w:val="22"/>
    </w:rPr>
  </w:style>
  <w:style w:type="character" w:customStyle="1" w:styleId="TitleforTablesorFiguresChar">
    <w:name w:val="Title for Tables or Figures Char"/>
    <w:link w:val="TitleforTablesorFigures"/>
    <w:uiPriority w:val="3"/>
    <w:rsid w:val="00F23884"/>
    <w:rPr>
      <w:bCs/>
      <w:iCs/>
      <w:color w:val="000000"/>
      <w:sz w:val="22"/>
      <w:szCs w:val="28"/>
      <w:lang w:val="en-GB"/>
    </w:rPr>
  </w:style>
  <w:style w:type="paragraph" w:styleId="TOC2">
    <w:name w:val="toc 2"/>
    <w:basedOn w:val="Normal"/>
    <w:next w:val="Normal"/>
    <w:autoRedefine/>
    <w:uiPriority w:val="39"/>
    <w:unhideWhenUsed/>
    <w:rsid w:val="00D779FC"/>
    <w:pPr>
      <w:ind w:left="1440" w:right="720" w:hanging="720"/>
    </w:pPr>
    <w:rPr>
      <w:rFonts w:asciiTheme="minorHAnsi" w:hAnsiTheme="minorHAnsi" w:cstheme="minorHAnsi"/>
      <w:iCs/>
      <w:szCs w:val="20"/>
    </w:rPr>
  </w:style>
  <w:style w:type="paragraph" w:styleId="TOC3">
    <w:name w:val="toc 3"/>
    <w:basedOn w:val="Normal"/>
    <w:next w:val="Normal"/>
    <w:autoRedefine/>
    <w:uiPriority w:val="39"/>
    <w:unhideWhenUsed/>
    <w:rsid w:val="00E61F9D"/>
    <w:pPr>
      <w:tabs>
        <w:tab w:val="left" w:pos="2304"/>
        <w:tab w:val="right" w:leader="dot" w:pos="9350"/>
      </w:tabs>
      <w:ind w:left="2304" w:right="720" w:hanging="864"/>
    </w:pPr>
    <w:rPr>
      <w:rFonts w:asciiTheme="minorHAnsi" w:hAnsiTheme="minorHAnsi" w:cstheme="minorHAnsi"/>
      <w:szCs w:val="20"/>
    </w:rPr>
  </w:style>
  <w:style w:type="paragraph" w:styleId="TOCHeading">
    <w:name w:val="TOC Heading"/>
    <w:basedOn w:val="Normal"/>
    <w:next w:val="Normal"/>
    <w:uiPriority w:val="99"/>
    <w:qFormat/>
    <w:rsid w:val="00C235EF"/>
    <w:pPr>
      <w:spacing w:before="2760" w:after="600"/>
    </w:pPr>
    <w:rPr>
      <w:color w:val="425364" w:themeColor="text1"/>
      <w:sz w:val="48"/>
      <w:szCs w:val="48"/>
    </w:rPr>
  </w:style>
  <w:style w:type="paragraph" w:customStyle="1" w:styleId="WatsonFooter">
    <w:name w:val="Watson Footer"/>
    <w:basedOn w:val="Footer"/>
    <w:link w:val="WatsonFooterChar"/>
    <w:semiHidden/>
    <w:qFormat/>
    <w:rsid w:val="004C4C88"/>
    <w:pPr>
      <w:pBdr>
        <w:top w:val="thickThinSmallGap" w:sz="18" w:space="1" w:color="auto"/>
      </w:pBdr>
      <w:tabs>
        <w:tab w:val="clear" w:pos="4320"/>
        <w:tab w:val="clear" w:pos="8640"/>
        <w:tab w:val="center" w:pos="3600"/>
        <w:tab w:val="right" w:pos="9000"/>
      </w:tabs>
    </w:pPr>
  </w:style>
  <w:style w:type="character" w:customStyle="1" w:styleId="WatsonFooterChar">
    <w:name w:val="Watson Footer Char"/>
    <w:link w:val="WatsonFooter"/>
    <w:semiHidden/>
    <w:rsid w:val="0054675E"/>
    <w:rPr>
      <w:lang w:val="en-CA"/>
    </w:rPr>
  </w:style>
  <w:style w:type="paragraph" w:customStyle="1" w:styleId="WatsonHeader">
    <w:name w:val="Watson Header"/>
    <w:basedOn w:val="Normal"/>
    <w:link w:val="WatsonHeaderChar"/>
    <w:semiHidden/>
    <w:rsid w:val="004C4C88"/>
    <w:pPr>
      <w:pBdr>
        <w:top w:val="thickThinSmallGap" w:sz="18" w:space="1" w:color="auto"/>
      </w:pBdr>
      <w:jc w:val="right"/>
    </w:pPr>
  </w:style>
  <w:style w:type="character" w:customStyle="1" w:styleId="WatsonHeaderChar">
    <w:name w:val="Watson Header Char"/>
    <w:link w:val="WatsonHeader"/>
    <w:semiHidden/>
    <w:rsid w:val="0054675E"/>
    <w:rPr>
      <w:lang w:val="en-CA"/>
    </w:rPr>
  </w:style>
  <w:style w:type="paragraph" w:customStyle="1" w:styleId="Watsonletterheadheader">
    <w:name w:val="Watson letterhead header"/>
    <w:basedOn w:val="Normal"/>
    <w:link w:val="WatsonletterheadheaderChar"/>
    <w:semiHidden/>
    <w:rsid w:val="004C4C88"/>
    <w:pPr>
      <w:jc w:val="right"/>
    </w:pPr>
    <w:rPr>
      <w:noProof/>
      <w:sz w:val="16"/>
      <w:szCs w:val="16"/>
    </w:rPr>
  </w:style>
  <w:style w:type="character" w:customStyle="1" w:styleId="WatsonletterheadheaderChar">
    <w:name w:val="Watson letterhead header Char"/>
    <w:link w:val="Watsonletterheadheader"/>
    <w:semiHidden/>
    <w:rsid w:val="0054675E"/>
    <w:rPr>
      <w:noProof/>
      <w:sz w:val="16"/>
      <w:szCs w:val="16"/>
      <w:lang w:val="en-CA"/>
    </w:rPr>
  </w:style>
  <w:style w:type="table" w:styleId="TableGrid">
    <w:name w:val="Table Grid"/>
    <w:basedOn w:val="TableNormal"/>
    <w:uiPriority w:val="39"/>
    <w:rsid w:val="004C5B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pPr>
        <w:wordWrap/>
        <w:spacing w:beforeLines="0" w:before="0" w:beforeAutospacing="0" w:afterLines="0" w:after="0" w:afterAutospacing="0" w:line="240" w:lineRule="auto"/>
      </w:pPr>
    </w:tblStylePr>
  </w:style>
  <w:style w:type="table" w:customStyle="1" w:styleId="Watson11">
    <w:name w:val="Watson1.1"/>
    <w:basedOn w:val="TableGrid"/>
    <w:uiPriority w:val="99"/>
    <w:rsid w:val="006E7CCE"/>
    <w:pPr>
      <w:spacing w:before="160" w:after="160"/>
      <w:jc w:val="center"/>
    </w:pPr>
    <w:tblPr>
      <w:tblBorders>
        <w:top w:val="single" w:sz="4" w:space="0" w:color="425364" w:themeColor="text1"/>
        <w:left w:val="single" w:sz="4" w:space="0" w:color="425364" w:themeColor="text1"/>
        <w:bottom w:val="single" w:sz="4" w:space="0" w:color="425364" w:themeColor="text1"/>
        <w:right w:val="single" w:sz="4" w:space="0" w:color="425364" w:themeColor="text1"/>
        <w:insideH w:val="single" w:sz="4" w:space="0" w:color="425364" w:themeColor="text1"/>
        <w:insideV w:val="single" w:sz="4" w:space="0" w:color="425364" w:themeColor="text1"/>
      </w:tblBorders>
    </w:tblPr>
    <w:tcPr>
      <w:vAlign w:val="center"/>
    </w:tcPr>
    <w:tblStylePr w:type="firstRow">
      <w:pPr>
        <w:wordWrap/>
        <w:spacing w:beforeLines="0" w:before="120" w:beforeAutospacing="0" w:afterLines="0" w:after="120" w:afterAutospacing="0" w:line="240" w:lineRule="auto"/>
        <w:jc w:val="center"/>
      </w:pPr>
      <w:rPr>
        <w:rFonts w:asciiTheme="majorHAnsi" w:hAnsiTheme="majorHAnsi"/>
        <w:b/>
        <w:bCs/>
        <w:color w:val="FFFFFF" w:themeColor="background1"/>
        <w:sz w:val="24"/>
        <w:szCs w:val="24"/>
      </w:rPr>
      <w:tblPr/>
      <w:tcPr>
        <w:tcBorders>
          <w:top w:val="single" w:sz="4" w:space="0" w:color="425364" w:themeColor="text1"/>
          <w:left w:val="single" w:sz="4" w:space="0" w:color="425364" w:themeColor="text1"/>
          <w:bottom w:val="single" w:sz="4" w:space="0" w:color="425364" w:themeColor="text1"/>
          <w:right w:val="single" w:sz="4" w:space="0" w:color="425364" w:themeColor="text1"/>
          <w:insideH w:val="nil"/>
          <w:insideV w:val="single" w:sz="4" w:space="0" w:color="FFFFFF" w:themeColor="background1"/>
          <w:tl2br w:val="nil"/>
          <w:tr2bl w:val="nil"/>
        </w:tcBorders>
        <w:shd w:val="clear" w:color="auto" w:fill="425364" w:themeFill="text1"/>
      </w:tcPr>
    </w:tblStylePr>
    <w:tblStylePr w:type="firstCol">
      <w:pPr>
        <w:wordWrap/>
        <w:spacing w:beforeLines="0" w:before="0" w:beforeAutospacing="0" w:afterLines="0" w:after="0" w:afterAutospacing="0" w:line="240" w:lineRule="auto"/>
        <w:jc w:val="left"/>
      </w:pPr>
      <w:rPr>
        <w:rFonts w:asciiTheme="majorHAnsi" w:hAnsiTheme="majorHAnsi"/>
        <w:b/>
        <w:color w:val="212931" w:themeColor="text1" w:themeShade="80"/>
        <w:sz w:val="24"/>
      </w:rPr>
      <w:tblPr/>
      <w:tcPr>
        <w:shd w:val="clear" w:color="auto" w:fill="7A97AB" w:themeFill="text2"/>
      </w:tcPr>
    </w:tblStylePr>
    <w:tblStylePr w:type="nwCell">
      <w:pPr>
        <w:wordWrap/>
        <w:spacing w:beforeLines="0" w:before="120" w:beforeAutospacing="0" w:afterLines="0" w:after="120" w:afterAutospacing="0" w:line="240" w:lineRule="auto"/>
        <w:jc w:val="left"/>
      </w:pPr>
      <w:rPr>
        <w:rFonts w:asciiTheme="majorHAnsi" w:hAnsiTheme="majorHAnsi"/>
        <w:b/>
        <w:color w:val="FFFFFF" w:themeColor="background1"/>
        <w:sz w:val="24"/>
      </w:rPr>
      <w:tblPr/>
      <w:tcPr>
        <w:shd w:val="clear" w:color="auto" w:fill="425364" w:themeFill="text1"/>
        <w:vAlign w:val="bottom"/>
      </w:tcPr>
    </w:tblStylePr>
  </w:style>
  <w:style w:type="table" w:styleId="LightShading">
    <w:name w:val="Light Shading"/>
    <w:basedOn w:val="TableNormal"/>
    <w:uiPriority w:val="60"/>
    <w:rsid w:val="004C5B0D"/>
    <w:rPr>
      <w:color w:val="313E4A" w:themeColor="text1" w:themeShade="BF"/>
    </w:rPr>
    <w:tblPr>
      <w:tblStyleRowBandSize w:val="1"/>
      <w:tblStyleColBandSize w:val="1"/>
      <w:tblBorders>
        <w:top w:val="single" w:sz="8" w:space="0" w:color="425364" w:themeColor="text1"/>
        <w:bottom w:val="single" w:sz="8" w:space="0" w:color="425364" w:themeColor="text1"/>
      </w:tblBorders>
    </w:tblPr>
    <w:tblStylePr w:type="firstRow">
      <w:pPr>
        <w:spacing w:before="0" w:after="0" w:line="240" w:lineRule="auto"/>
      </w:pPr>
      <w:rPr>
        <w:b/>
        <w:bCs/>
      </w:rPr>
      <w:tblPr/>
      <w:tcPr>
        <w:tcBorders>
          <w:top w:val="single" w:sz="8" w:space="0" w:color="425364" w:themeColor="text1"/>
          <w:left w:val="nil"/>
          <w:bottom w:val="single" w:sz="8" w:space="0" w:color="425364" w:themeColor="text1"/>
          <w:right w:val="nil"/>
          <w:insideH w:val="nil"/>
          <w:insideV w:val="nil"/>
        </w:tcBorders>
      </w:tcPr>
    </w:tblStylePr>
    <w:tblStylePr w:type="lastRow">
      <w:pPr>
        <w:spacing w:before="0" w:after="0" w:line="240" w:lineRule="auto"/>
      </w:pPr>
      <w:rPr>
        <w:b/>
        <w:bCs/>
      </w:rPr>
      <w:tblPr/>
      <w:tcPr>
        <w:tcBorders>
          <w:top w:val="single" w:sz="8" w:space="0" w:color="425364" w:themeColor="text1"/>
          <w:left w:val="nil"/>
          <w:bottom w:val="single" w:sz="8" w:space="0" w:color="42536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4DD" w:themeFill="text1" w:themeFillTint="3F"/>
      </w:tcPr>
    </w:tblStylePr>
    <w:tblStylePr w:type="band1Horz">
      <w:tblPr/>
      <w:tcPr>
        <w:tcBorders>
          <w:left w:val="nil"/>
          <w:right w:val="nil"/>
          <w:insideH w:val="nil"/>
          <w:insideV w:val="nil"/>
        </w:tcBorders>
        <w:shd w:val="clear" w:color="auto" w:fill="CBD4DD" w:themeFill="text1" w:themeFillTint="3F"/>
      </w:tcPr>
    </w:tblStylePr>
  </w:style>
  <w:style w:type="paragraph" w:styleId="Header">
    <w:name w:val="header"/>
    <w:basedOn w:val="Normal"/>
    <w:link w:val="HeaderChar"/>
    <w:unhideWhenUsed/>
    <w:rsid w:val="00294E19"/>
    <w:pPr>
      <w:tabs>
        <w:tab w:val="center" w:pos="4320"/>
        <w:tab w:val="right" w:pos="8640"/>
      </w:tabs>
      <w:jc w:val="right"/>
    </w:pPr>
  </w:style>
  <w:style w:type="character" w:customStyle="1" w:styleId="HeaderChar">
    <w:name w:val="Header Char"/>
    <w:basedOn w:val="DefaultParagraphFont"/>
    <w:link w:val="Header"/>
    <w:rsid w:val="00294E19"/>
  </w:style>
  <w:style w:type="paragraph" w:styleId="Revision">
    <w:name w:val="Revision"/>
    <w:hidden/>
    <w:uiPriority w:val="99"/>
    <w:semiHidden/>
    <w:rsid w:val="00DB16F2"/>
    <w:rPr>
      <w:rFonts w:eastAsia="Times New Roman" w:cs="Times New Roman"/>
      <w:color w:val="6E6E6E"/>
      <w:lang w:val="en-CA"/>
    </w:rPr>
  </w:style>
  <w:style w:type="paragraph" w:styleId="DocumentMap">
    <w:name w:val="Document Map"/>
    <w:basedOn w:val="Normal"/>
    <w:link w:val="DocumentMapChar"/>
    <w:uiPriority w:val="99"/>
    <w:semiHidden/>
    <w:unhideWhenUsed/>
    <w:rsid w:val="00DB16F2"/>
    <w:rPr>
      <w:rFonts w:ascii="Lucida Grande" w:hAnsi="Lucida Grande" w:cs="Lucida Grande"/>
    </w:rPr>
  </w:style>
  <w:style w:type="character" w:customStyle="1" w:styleId="DocumentMapChar">
    <w:name w:val="Document Map Char"/>
    <w:basedOn w:val="DefaultParagraphFont"/>
    <w:link w:val="DocumentMap"/>
    <w:uiPriority w:val="99"/>
    <w:semiHidden/>
    <w:rsid w:val="00DB16F2"/>
    <w:rPr>
      <w:rFonts w:ascii="Lucida Grande" w:eastAsia="Times New Roman" w:hAnsi="Lucida Grande" w:cs="Lucida Grande"/>
      <w:color w:val="6E6E6E"/>
      <w:lang w:val="en-CA"/>
    </w:rPr>
  </w:style>
  <w:style w:type="table" w:styleId="LightShading-Accent1">
    <w:name w:val="Light Shading Accent 1"/>
    <w:basedOn w:val="TableNormal"/>
    <w:uiPriority w:val="60"/>
    <w:rsid w:val="00BE110B"/>
    <w:rPr>
      <w:rFonts w:asciiTheme="minorHAnsi" w:eastAsiaTheme="minorEastAsia" w:hAnsiTheme="minorHAnsi"/>
      <w:color w:val="C34713" w:themeColor="accent1" w:themeShade="BF"/>
      <w:sz w:val="22"/>
      <w:szCs w:val="22"/>
      <w:lang w:eastAsia="zh-TW"/>
    </w:rPr>
    <w:tblPr>
      <w:tblStyleRowBandSize w:val="1"/>
      <w:tblStyleColBandSize w:val="1"/>
      <w:tblBorders>
        <w:top w:val="single" w:sz="8" w:space="0" w:color="EB6B34" w:themeColor="accent1"/>
        <w:bottom w:val="single" w:sz="8" w:space="0" w:color="EB6B34" w:themeColor="accent1"/>
      </w:tblBorders>
    </w:tblPr>
    <w:tblStylePr w:type="firstRow">
      <w:pPr>
        <w:spacing w:before="0" w:after="0" w:line="240" w:lineRule="auto"/>
      </w:pPr>
      <w:rPr>
        <w:b/>
        <w:bCs/>
      </w:rPr>
      <w:tblPr/>
      <w:tcPr>
        <w:tcBorders>
          <w:top w:val="single" w:sz="8" w:space="0" w:color="EB6B34" w:themeColor="accent1"/>
          <w:left w:val="nil"/>
          <w:bottom w:val="single" w:sz="8" w:space="0" w:color="EB6B34" w:themeColor="accent1"/>
          <w:right w:val="nil"/>
          <w:insideH w:val="nil"/>
          <w:insideV w:val="nil"/>
        </w:tcBorders>
      </w:tcPr>
    </w:tblStylePr>
    <w:tblStylePr w:type="lastRow">
      <w:pPr>
        <w:spacing w:before="0" w:after="0" w:line="240" w:lineRule="auto"/>
      </w:pPr>
      <w:rPr>
        <w:b/>
        <w:bCs/>
      </w:rPr>
      <w:tblPr/>
      <w:tcPr>
        <w:tcBorders>
          <w:top w:val="single" w:sz="8" w:space="0" w:color="EB6B34" w:themeColor="accent1"/>
          <w:left w:val="nil"/>
          <w:bottom w:val="single" w:sz="8" w:space="0" w:color="EB6B3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ACC" w:themeFill="accent1" w:themeFillTint="3F"/>
      </w:tcPr>
    </w:tblStylePr>
    <w:tblStylePr w:type="band1Horz">
      <w:tblPr/>
      <w:tcPr>
        <w:tcBorders>
          <w:left w:val="nil"/>
          <w:right w:val="nil"/>
          <w:insideH w:val="nil"/>
          <w:insideV w:val="nil"/>
        </w:tcBorders>
        <w:shd w:val="clear" w:color="auto" w:fill="FADACC" w:themeFill="accent1" w:themeFillTint="3F"/>
      </w:tcPr>
    </w:tblStylePr>
  </w:style>
  <w:style w:type="paragraph" w:styleId="Caption">
    <w:name w:val="caption"/>
    <w:basedOn w:val="Normal"/>
    <w:next w:val="Normal"/>
    <w:uiPriority w:val="35"/>
    <w:unhideWhenUsed/>
    <w:rsid w:val="00726A21"/>
    <w:pPr>
      <w:spacing w:after="200"/>
    </w:pPr>
    <w:rPr>
      <w:b/>
      <w:bCs/>
      <w:color w:val="EB6B34" w:themeColor="accent1"/>
      <w:sz w:val="18"/>
      <w:szCs w:val="18"/>
    </w:rPr>
  </w:style>
  <w:style w:type="paragraph" w:customStyle="1" w:styleId="Custom">
    <w:name w:val="Custom"/>
    <w:basedOn w:val="BodyText125"/>
    <w:link w:val="CustomChar"/>
    <w:autoRedefine/>
    <w:uiPriority w:val="5"/>
    <w:qFormat/>
    <w:rsid w:val="00F42FAD"/>
  </w:style>
  <w:style w:type="character" w:customStyle="1" w:styleId="CustomChar">
    <w:name w:val="Custom Char"/>
    <w:basedOn w:val="BodyText125Char"/>
    <w:link w:val="Custom"/>
    <w:uiPriority w:val="5"/>
    <w:rsid w:val="00F23884"/>
    <w:rPr>
      <w:rFonts w:eastAsia="Times New Roman"/>
      <w:lang w:val="en-CA"/>
    </w:rPr>
  </w:style>
  <w:style w:type="table" w:customStyle="1" w:styleId="Watson12">
    <w:name w:val="Watson1.2"/>
    <w:basedOn w:val="TableNormal"/>
    <w:uiPriority w:val="99"/>
    <w:rsid w:val="00EB2262"/>
    <w:pPr>
      <w:jc w:val="center"/>
    </w:pPr>
    <w:tblPr>
      <w:tblStyleRowBandSize w:val="1"/>
      <w:tblStyleColBandSize w:val="1"/>
      <w:tblBorders>
        <w:top w:val="single" w:sz="4" w:space="0" w:color="425364" w:themeColor="text1"/>
        <w:left w:val="single" w:sz="4" w:space="0" w:color="425364" w:themeColor="text1"/>
        <w:bottom w:val="single" w:sz="4" w:space="0" w:color="425364" w:themeColor="text1"/>
        <w:right w:val="single" w:sz="4" w:space="0" w:color="425364" w:themeColor="text1"/>
        <w:insideH w:val="single" w:sz="4" w:space="0" w:color="425364" w:themeColor="text1"/>
        <w:insideV w:val="single" w:sz="4" w:space="0" w:color="425364" w:themeColor="text1"/>
      </w:tblBorders>
    </w:tblPr>
    <w:tcPr>
      <w:shd w:val="clear" w:color="auto" w:fill="auto"/>
      <w:vAlign w:val="center"/>
    </w:tcPr>
    <w:tblStylePr w:type="firstRow">
      <w:pPr>
        <w:wordWrap/>
        <w:spacing w:beforeLines="0" w:before="120" w:beforeAutospacing="0" w:afterLines="0" w:after="120" w:afterAutospacing="0" w:line="240" w:lineRule="auto"/>
        <w:jc w:val="center"/>
      </w:pPr>
      <w:rPr>
        <w:rFonts w:asciiTheme="majorHAnsi" w:hAnsiTheme="majorHAnsi"/>
        <w:b/>
        <w:bCs/>
        <w:color w:val="FFFFFF" w:themeColor="background1"/>
        <w:sz w:val="24"/>
        <w:szCs w:val="24"/>
      </w:rPr>
      <w:tblPr/>
      <w:tcPr>
        <w:tcBorders>
          <w:top w:val="single" w:sz="4" w:space="0" w:color="425364" w:themeColor="text1"/>
          <w:left w:val="single" w:sz="4" w:space="0" w:color="425364" w:themeColor="text1"/>
          <w:bottom w:val="single" w:sz="4" w:space="0" w:color="425364" w:themeColor="text1"/>
          <w:right w:val="single" w:sz="4" w:space="0" w:color="425364" w:themeColor="text1"/>
          <w:insideH w:val="nil"/>
          <w:insideV w:val="single" w:sz="4" w:space="0" w:color="FFFFFF" w:themeColor="background1"/>
          <w:tl2br w:val="nil"/>
          <w:tr2bl w:val="nil"/>
        </w:tcBorders>
        <w:shd w:val="clear" w:color="auto" w:fill="425364" w:themeFill="text1"/>
      </w:tcPr>
    </w:tblStylePr>
    <w:tblStylePr w:type="lastRow">
      <w:rPr>
        <w:b/>
        <w:bCs/>
      </w:rPr>
      <w:tblPr/>
      <w:tcPr>
        <w:tcBorders>
          <w:top w:val="single" w:sz="4" w:space="0" w:color="425364" w:themeColor="text1"/>
          <w:left w:val="single" w:sz="4" w:space="0" w:color="425364" w:themeColor="text1"/>
          <w:bottom w:val="single" w:sz="4" w:space="0" w:color="425364" w:themeColor="text1"/>
          <w:right w:val="single" w:sz="4" w:space="0" w:color="425364" w:themeColor="text1"/>
          <w:insideH w:val="single" w:sz="4" w:space="0" w:color="425364" w:themeColor="text1"/>
          <w:insideV w:val="single" w:sz="4" w:space="0" w:color="425364" w:themeColor="text1"/>
        </w:tcBorders>
        <w:shd w:val="clear" w:color="auto" w:fill="FFFFFF" w:themeFill="background1"/>
      </w:tcPr>
    </w:tblStylePr>
    <w:tblStylePr w:type="firstCol">
      <w:pPr>
        <w:wordWrap/>
        <w:spacing w:beforeLines="0" w:before="0" w:beforeAutospacing="0" w:afterLines="0" w:after="0" w:afterAutospacing="0" w:line="240" w:lineRule="auto"/>
        <w:ind w:leftChars="0" w:left="0" w:rightChars="0" w:right="0"/>
        <w:contextualSpacing w:val="0"/>
        <w:jc w:val="center"/>
      </w:pPr>
      <w:rPr>
        <w:rFonts w:asciiTheme="majorHAnsi" w:hAnsiTheme="majorHAnsi"/>
        <w:b/>
        <w:bCs/>
        <w:color w:val="6E6E6E" w:themeColor="background2"/>
        <w:spacing w:val="0"/>
        <w:sz w:val="24"/>
      </w:rPr>
      <w:tblPr/>
      <w:tcPr>
        <w:tcBorders>
          <w:top w:val="single" w:sz="4" w:space="0" w:color="425364" w:themeColor="text1"/>
          <w:left w:val="single" w:sz="4" w:space="0" w:color="425364" w:themeColor="text1"/>
          <w:bottom w:val="single" w:sz="4" w:space="0" w:color="425364" w:themeColor="text1"/>
          <w:right w:val="single" w:sz="4" w:space="0" w:color="425364" w:themeColor="text1"/>
          <w:insideH w:val="single" w:sz="4" w:space="0" w:color="425364" w:themeColor="text1"/>
          <w:insideV w:val="single" w:sz="4" w:space="0" w:color="425364" w:themeColor="text1"/>
        </w:tcBorders>
        <w:shd w:val="clear" w:color="auto" w:fill="FFFFFF" w:themeFill="background1"/>
      </w:tcPr>
    </w:tblStylePr>
    <w:tblStylePr w:type="lastCol">
      <w:rPr>
        <w:b/>
        <w:bCs/>
      </w:rPr>
      <w:tblPr/>
      <w:tcPr>
        <w:tcBorders>
          <w:top w:val="single" w:sz="4" w:space="0" w:color="425364" w:themeColor="text1"/>
          <w:left w:val="single" w:sz="4" w:space="0" w:color="425364" w:themeColor="text1"/>
          <w:bottom w:val="single" w:sz="4" w:space="0" w:color="425364" w:themeColor="text1"/>
          <w:right w:val="single" w:sz="4" w:space="0" w:color="425364" w:themeColor="text1"/>
          <w:insideH w:val="single" w:sz="4" w:space="0" w:color="425364" w:themeColor="text1"/>
          <w:insideV w:val="single" w:sz="4" w:space="0" w:color="425364" w:themeColor="text1"/>
        </w:tcBorders>
        <w:shd w:val="clear" w:color="auto" w:fill="FFFFFF" w:themeFill="background1"/>
      </w:tcPr>
    </w:tblStylePr>
    <w:tblStylePr w:type="band1Vert">
      <w:pPr>
        <w:jc w:val="center"/>
      </w:pPr>
      <w:tblPr/>
      <w:tcPr>
        <w:tcBorders>
          <w:top w:val="single" w:sz="4" w:space="0" w:color="425364" w:themeColor="text1"/>
          <w:left w:val="single" w:sz="4" w:space="0" w:color="425364" w:themeColor="text1"/>
          <w:bottom w:val="single" w:sz="4" w:space="0" w:color="425364" w:themeColor="text1"/>
          <w:right w:val="single" w:sz="4" w:space="0" w:color="425364" w:themeColor="text1"/>
          <w:insideH w:val="single" w:sz="4" w:space="0" w:color="425364" w:themeColor="text1"/>
          <w:insideV w:val="single" w:sz="4" w:space="0" w:color="425364" w:themeColor="text1"/>
        </w:tcBorders>
        <w:shd w:val="clear" w:color="auto" w:fill="auto"/>
      </w:tcPr>
    </w:tblStylePr>
    <w:tblStylePr w:type="band2Vert">
      <w:tblPr/>
      <w:tcPr>
        <w:tcBorders>
          <w:top w:val="single" w:sz="4" w:space="0" w:color="425364" w:themeColor="text1"/>
          <w:left w:val="single" w:sz="4" w:space="0" w:color="425364" w:themeColor="text1"/>
          <w:bottom w:val="single" w:sz="4" w:space="0" w:color="425364" w:themeColor="text1"/>
          <w:right w:val="single" w:sz="4" w:space="0" w:color="425364" w:themeColor="text1"/>
          <w:insideH w:val="single" w:sz="4" w:space="0" w:color="425364" w:themeColor="text1"/>
          <w:insideV w:val="single" w:sz="4" w:space="0" w:color="425364" w:themeColor="text1"/>
        </w:tcBorders>
        <w:shd w:val="clear" w:color="auto" w:fill="auto"/>
      </w:tcPr>
    </w:tblStylePr>
    <w:tblStylePr w:type="band1Horz">
      <w:tblPr/>
      <w:tcPr>
        <w:tcBorders>
          <w:top w:val="single" w:sz="4" w:space="0" w:color="425364" w:themeColor="text1"/>
          <w:left w:val="single" w:sz="4" w:space="0" w:color="425364" w:themeColor="text1"/>
          <w:bottom w:val="single" w:sz="4" w:space="0" w:color="425364" w:themeColor="text1"/>
          <w:right w:val="single" w:sz="4" w:space="0" w:color="425364" w:themeColor="text1"/>
          <w:insideH w:val="single" w:sz="4" w:space="0" w:color="425364" w:themeColor="text1"/>
          <w:insideV w:val="single" w:sz="4" w:space="0" w:color="425364" w:themeColor="text1"/>
        </w:tcBorders>
        <w:shd w:val="clear" w:color="auto" w:fill="auto"/>
      </w:tcPr>
    </w:tblStylePr>
    <w:tblStylePr w:type="band2Horz">
      <w:tblPr/>
      <w:tcPr>
        <w:tcBorders>
          <w:top w:val="single" w:sz="4" w:space="0" w:color="425364" w:themeColor="text1"/>
          <w:left w:val="single" w:sz="4" w:space="0" w:color="425364" w:themeColor="text1"/>
          <w:bottom w:val="single" w:sz="4" w:space="0" w:color="425364" w:themeColor="text1"/>
          <w:right w:val="single" w:sz="4" w:space="0" w:color="425364" w:themeColor="text1"/>
          <w:insideH w:val="single" w:sz="4" w:space="0" w:color="425364" w:themeColor="text1"/>
          <w:insideV w:val="single" w:sz="4" w:space="0" w:color="425364" w:themeColor="text1"/>
        </w:tcBorders>
        <w:shd w:val="clear" w:color="auto" w:fill="auto"/>
      </w:tcPr>
    </w:tblStylePr>
    <w:tblStylePr w:type="neCell">
      <w:tblPr/>
      <w:tcPr>
        <w:tcBorders>
          <w:left w:val="nil"/>
          <w:bottom w:val="nil"/>
        </w:tcBorders>
      </w:tcPr>
    </w:tblStylePr>
    <w:tblStylePr w:type="nwCell">
      <w:pPr>
        <w:wordWrap/>
        <w:spacing w:beforeLines="0" w:before="120" w:beforeAutospacing="0" w:afterLines="0" w:after="120" w:afterAutospacing="0" w:line="240" w:lineRule="auto"/>
        <w:jc w:val="center"/>
      </w:pPr>
      <w:rPr>
        <w:rFonts w:asciiTheme="majorHAnsi" w:hAnsiTheme="majorHAnsi"/>
        <w:b/>
        <w:color w:val="FFFFFF" w:themeColor="background1"/>
        <w:sz w:val="24"/>
      </w:rPr>
      <w:tblPr/>
      <w:tcPr>
        <w:shd w:val="clear" w:color="auto" w:fill="425364" w:themeFill="text1"/>
      </w:tcPr>
    </w:tblStylePr>
    <w:tblStylePr w:type="seCell">
      <w:tblPr/>
      <w:tcPr>
        <w:tcBorders>
          <w:top w:val="single" w:sz="4" w:space="0" w:color="425364" w:themeColor="text1"/>
          <w:left w:val="single" w:sz="4" w:space="0" w:color="425364" w:themeColor="text1"/>
          <w:bottom w:val="single" w:sz="4" w:space="0" w:color="425364" w:themeColor="text1"/>
          <w:right w:val="single" w:sz="4" w:space="0" w:color="425364" w:themeColor="text1"/>
          <w:insideH w:val="single" w:sz="4" w:space="0" w:color="425364" w:themeColor="text1"/>
          <w:insideV w:val="single" w:sz="4" w:space="0" w:color="425364" w:themeColor="text1"/>
        </w:tcBorders>
        <w:shd w:val="clear" w:color="auto" w:fill="auto"/>
      </w:tcPr>
    </w:tblStylePr>
    <w:tblStylePr w:type="swCell">
      <w:tblPr/>
      <w:tcPr>
        <w:tcBorders>
          <w:top w:val="single" w:sz="4" w:space="0" w:color="425364" w:themeColor="text1"/>
          <w:left w:val="single" w:sz="4" w:space="0" w:color="425364" w:themeColor="text1"/>
          <w:bottom w:val="single" w:sz="4" w:space="0" w:color="425364" w:themeColor="text1"/>
          <w:right w:val="single" w:sz="4" w:space="0" w:color="425364" w:themeColor="text1"/>
          <w:insideH w:val="single" w:sz="4" w:space="0" w:color="425364" w:themeColor="text1"/>
          <w:insideV w:val="single" w:sz="4" w:space="0" w:color="425364" w:themeColor="text1"/>
        </w:tcBorders>
        <w:shd w:val="clear" w:color="auto" w:fill="auto"/>
      </w:tcPr>
    </w:tblStylePr>
  </w:style>
  <w:style w:type="table" w:customStyle="1" w:styleId="Watson21">
    <w:name w:val="Watson2.1"/>
    <w:basedOn w:val="Watson11"/>
    <w:uiPriority w:val="99"/>
    <w:rsid w:val="000410D6"/>
    <w:tblPr>
      <w:tblBorders>
        <w:top w:val="single" w:sz="4" w:space="0" w:color="EB6B34" w:themeColor="accent1"/>
        <w:left w:val="single" w:sz="4" w:space="0" w:color="EB6B34" w:themeColor="accent1"/>
        <w:bottom w:val="single" w:sz="4" w:space="0" w:color="EB6B34" w:themeColor="accent1"/>
        <w:right w:val="single" w:sz="4" w:space="0" w:color="EB6B34" w:themeColor="accent1"/>
        <w:insideH w:val="single" w:sz="4" w:space="0" w:color="EB6B34" w:themeColor="accent1"/>
        <w:insideV w:val="single" w:sz="4" w:space="0" w:color="EB6B34" w:themeColor="accent1"/>
      </w:tblBorders>
    </w:tblPr>
    <w:tcPr>
      <w:shd w:val="clear" w:color="auto" w:fill="auto"/>
    </w:tcPr>
    <w:tblStylePr w:type="firstRow">
      <w:pPr>
        <w:wordWrap/>
        <w:spacing w:beforeLines="0" w:before="120" w:beforeAutospacing="0" w:afterLines="0" w:after="120" w:afterAutospacing="0" w:line="240" w:lineRule="auto"/>
        <w:jc w:val="center"/>
      </w:pPr>
      <w:rPr>
        <w:rFonts w:asciiTheme="majorHAnsi" w:hAnsiTheme="majorHAnsi"/>
        <w:b/>
        <w:bCs/>
        <w:color w:val="212931" w:themeColor="text1" w:themeShade="80"/>
        <w:sz w:val="24"/>
        <w:szCs w:val="24"/>
      </w:rPr>
      <w:tblPr/>
      <w:tcPr>
        <w:tcBorders>
          <w:top w:val="single" w:sz="4" w:space="0" w:color="EB6B34" w:themeColor="accent1"/>
          <w:left w:val="single" w:sz="4" w:space="0" w:color="EB6B34" w:themeColor="accent1"/>
          <w:bottom w:val="single" w:sz="4" w:space="0" w:color="EB6B34" w:themeColor="accent1"/>
          <w:right w:val="single" w:sz="4" w:space="0" w:color="EB6B34" w:themeColor="accent1"/>
          <w:insideH w:val="single" w:sz="4" w:space="0" w:color="EB6B34" w:themeColor="accent1"/>
          <w:insideV w:val="single" w:sz="4" w:space="0" w:color="FFFFFF" w:themeColor="background1"/>
          <w:tl2br w:val="nil"/>
          <w:tr2bl w:val="nil"/>
        </w:tcBorders>
        <w:shd w:val="clear" w:color="auto" w:fill="EB6B34" w:themeFill="accent1"/>
      </w:tcPr>
    </w:tblStylePr>
    <w:tblStylePr w:type="firstCol">
      <w:pPr>
        <w:wordWrap/>
        <w:spacing w:beforeLines="0" w:before="0" w:beforeAutospacing="0" w:afterLines="0" w:after="0" w:afterAutospacing="0" w:line="240" w:lineRule="auto"/>
        <w:jc w:val="left"/>
      </w:pPr>
      <w:rPr>
        <w:rFonts w:asciiTheme="majorHAnsi" w:hAnsiTheme="majorHAnsi"/>
        <w:b/>
        <w:color w:val="212931" w:themeColor="text1" w:themeShade="80"/>
        <w:sz w:val="24"/>
      </w:rPr>
      <w:tblPr/>
      <w:tcPr>
        <w:shd w:val="clear" w:color="auto" w:fill="F3A585" w:themeFill="accent1" w:themeFillTint="99"/>
      </w:tcPr>
    </w:tblStylePr>
    <w:tblStylePr w:type="nwCell">
      <w:pPr>
        <w:wordWrap/>
        <w:spacing w:beforeLines="0" w:before="120" w:beforeAutospacing="0" w:afterLines="0" w:after="120" w:afterAutospacing="0" w:line="240" w:lineRule="auto"/>
        <w:jc w:val="left"/>
      </w:pPr>
      <w:rPr>
        <w:rFonts w:asciiTheme="majorHAnsi" w:hAnsiTheme="majorHAnsi"/>
        <w:b/>
        <w:color w:val="212931" w:themeColor="text1" w:themeShade="80"/>
        <w:sz w:val="24"/>
      </w:rPr>
      <w:tblPr/>
      <w:tcPr>
        <w:shd w:val="clear" w:color="auto" w:fill="EB6B34" w:themeFill="accent1"/>
        <w:vAlign w:val="bottom"/>
      </w:tcPr>
    </w:tblStylePr>
  </w:style>
  <w:style w:type="table" w:customStyle="1" w:styleId="Watson31">
    <w:name w:val="Watson3.1"/>
    <w:basedOn w:val="Watson11"/>
    <w:uiPriority w:val="99"/>
    <w:rsid w:val="006E7CCE"/>
    <w:tblPr>
      <w:tblBorders>
        <w:top w:val="single" w:sz="4" w:space="0" w:color="35A0A4" w:themeColor="accent2"/>
        <w:left w:val="single" w:sz="4" w:space="0" w:color="35A0A4" w:themeColor="accent2"/>
        <w:bottom w:val="single" w:sz="4" w:space="0" w:color="35A0A4" w:themeColor="accent2"/>
        <w:right w:val="single" w:sz="4" w:space="0" w:color="35A0A4" w:themeColor="accent2"/>
        <w:insideH w:val="single" w:sz="4" w:space="0" w:color="35A0A4" w:themeColor="accent2"/>
        <w:insideV w:val="single" w:sz="4" w:space="0" w:color="35A0A4" w:themeColor="accent2"/>
      </w:tblBorders>
    </w:tblPr>
    <w:tcPr>
      <w:shd w:val="clear" w:color="auto" w:fill="auto"/>
    </w:tcPr>
    <w:tblStylePr w:type="firstRow">
      <w:pPr>
        <w:wordWrap/>
        <w:spacing w:beforeLines="0" w:before="120" w:beforeAutospacing="0" w:afterLines="0" w:after="120" w:afterAutospacing="0" w:line="240" w:lineRule="auto"/>
        <w:jc w:val="center"/>
      </w:pPr>
      <w:rPr>
        <w:rFonts w:asciiTheme="majorHAnsi" w:hAnsiTheme="majorHAnsi"/>
        <w:b/>
        <w:bCs/>
        <w:color w:val="212931" w:themeColor="text1" w:themeShade="80"/>
        <w:sz w:val="24"/>
        <w:szCs w:val="24"/>
      </w:rPr>
      <w:tblPr/>
      <w:tcPr>
        <w:tcBorders>
          <w:top w:val="single" w:sz="4" w:space="0" w:color="35A0A4" w:themeColor="accent2"/>
          <w:left w:val="single" w:sz="4" w:space="0" w:color="35A0A4" w:themeColor="accent2"/>
          <w:bottom w:val="single" w:sz="4" w:space="0" w:color="35A0A4" w:themeColor="accent2"/>
          <w:right w:val="single" w:sz="4" w:space="0" w:color="35A0A4" w:themeColor="accent2"/>
          <w:insideH w:val="single" w:sz="4" w:space="0" w:color="35A0A4" w:themeColor="accent2"/>
          <w:insideV w:val="single" w:sz="4" w:space="0" w:color="FFFFFF" w:themeColor="background1"/>
          <w:tl2br w:val="nil"/>
          <w:tr2bl w:val="nil"/>
        </w:tcBorders>
        <w:shd w:val="clear" w:color="auto" w:fill="35A0A4" w:themeFill="accent2"/>
      </w:tcPr>
    </w:tblStylePr>
    <w:tblStylePr w:type="firstCol">
      <w:pPr>
        <w:wordWrap/>
        <w:spacing w:beforeLines="0" w:before="0" w:beforeAutospacing="0" w:afterLines="0" w:after="0" w:afterAutospacing="0" w:line="240" w:lineRule="auto"/>
        <w:jc w:val="left"/>
      </w:pPr>
      <w:rPr>
        <w:rFonts w:asciiTheme="majorHAnsi" w:hAnsiTheme="majorHAnsi"/>
        <w:b/>
        <w:color w:val="212931" w:themeColor="text1" w:themeShade="80"/>
        <w:sz w:val="24"/>
      </w:rPr>
      <w:tblPr/>
      <w:tcPr>
        <w:shd w:val="clear" w:color="auto" w:fill="A6DFE2" w:themeFill="accent2" w:themeFillTint="66"/>
      </w:tcPr>
    </w:tblStylePr>
    <w:tblStylePr w:type="nwCell">
      <w:pPr>
        <w:wordWrap/>
        <w:spacing w:beforeLines="0" w:before="120" w:beforeAutospacing="0" w:afterLines="0" w:after="120" w:afterAutospacing="0" w:line="240" w:lineRule="auto"/>
        <w:jc w:val="left"/>
      </w:pPr>
      <w:rPr>
        <w:rFonts w:asciiTheme="majorHAnsi" w:hAnsiTheme="majorHAnsi"/>
        <w:b/>
        <w:color w:val="212931" w:themeColor="text1" w:themeShade="80"/>
        <w:sz w:val="24"/>
      </w:rPr>
      <w:tblPr/>
      <w:tcPr>
        <w:shd w:val="clear" w:color="auto" w:fill="35A0A4" w:themeFill="accent2"/>
        <w:vAlign w:val="bottom"/>
      </w:tcPr>
    </w:tblStylePr>
  </w:style>
  <w:style w:type="table" w:customStyle="1" w:styleId="Watson41">
    <w:name w:val="Watson4.1"/>
    <w:basedOn w:val="Watson11"/>
    <w:uiPriority w:val="99"/>
    <w:rsid w:val="008F2324"/>
    <w:tblPr>
      <w:tblBorders>
        <w:top w:val="single" w:sz="4" w:space="0" w:color="942757" w:themeColor="accent3"/>
        <w:left w:val="single" w:sz="4" w:space="0" w:color="942757" w:themeColor="accent3"/>
        <w:bottom w:val="single" w:sz="4" w:space="0" w:color="942757" w:themeColor="accent3"/>
        <w:right w:val="single" w:sz="4" w:space="0" w:color="942757" w:themeColor="accent3"/>
        <w:insideH w:val="single" w:sz="4" w:space="0" w:color="942757" w:themeColor="accent3"/>
        <w:insideV w:val="single" w:sz="4" w:space="0" w:color="942757" w:themeColor="accent3"/>
      </w:tblBorders>
    </w:tblPr>
    <w:tblStylePr w:type="firstRow">
      <w:pPr>
        <w:wordWrap/>
        <w:spacing w:beforeLines="0" w:before="120" w:beforeAutospacing="0" w:afterLines="0" w:after="120" w:afterAutospacing="0" w:line="240" w:lineRule="auto"/>
        <w:jc w:val="center"/>
      </w:pPr>
      <w:rPr>
        <w:rFonts w:asciiTheme="majorHAnsi" w:hAnsiTheme="majorHAnsi"/>
        <w:b/>
        <w:bCs/>
        <w:color w:val="FFFFFF" w:themeColor="background1"/>
        <w:sz w:val="24"/>
        <w:szCs w:val="24"/>
      </w:rPr>
      <w:tblPr/>
      <w:tcPr>
        <w:tcBorders>
          <w:top w:val="single" w:sz="4" w:space="0" w:color="942757" w:themeColor="accent3"/>
          <w:left w:val="single" w:sz="4" w:space="0" w:color="942757" w:themeColor="accent3"/>
          <w:bottom w:val="single" w:sz="4" w:space="0" w:color="942757" w:themeColor="accent3"/>
          <w:right w:val="single" w:sz="4" w:space="0" w:color="942757" w:themeColor="accent3"/>
          <w:insideH w:val="nil"/>
          <w:insideV w:val="single" w:sz="4" w:space="0" w:color="FFFFFF" w:themeColor="background1"/>
          <w:tl2br w:val="nil"/>
          <w:tr2bl w:val="nil"/>
        </w:tcBorders>
        <w:shd w:val="clear" w:color="auto" w:fill="942757" w:themeFill="accent3"/>
      </w:tcPr>
    </w:tblStylePr>
    <w:tblStylePr w:type="firstCol">
      <w:pPr>
        <w:wordWrap/>
        <w:spacing w:beforeLines="0" w:before="0" w:beforeAutospacing="0" w:afterLines="0" w:after="0" w:afterAutospacing="0" w:line="240" w:lineRule="auto"/>
        <w:jc w:val="left"/>
      </w:pPr>
      <w:rPr>
        <w:rFonts w:asciiTheme="majorHAnsi" w:hAnsiTheme="majorHAnsi"/>
        <w:b/>
        <w:color w:val="212931" w:themeColor="text1" w:themeShade="80"/>
        <w:sz w:val="24"/>
      </w:rPr>
      <w:tblPr/>
      <w:tcPr>
        <w:shd w:val="clear" w:color="auto" w:fill="D66597" w:themeFill="accent3" w:themeFillTint="99"/>
      </w:tcPr>
    </w:tblStylePr>
    <w:tblStylePr w:type="nwCell">
      <w:pPr>
        <w:wordWrap/>
        <w:spacing w:beforeLines="0" w:before="120" w:beforeAutospacing="0" w:afterLines="0" w:after="120" w:afterAutospacing="0" w:line="240" w:lineRule="auto"/>
        <w:jc w:val="left"/>
      </w:pPr>
      <w:rPr>
        <w:rFonts w:asciiTheme="majorHAnsi" w:hAnsiTheme="majorHAnsi"/>
        <w:b/>
        <w:color w:val="FFFFFF" w:themeColor="background1"/>
        <w:sz w:val="24"/>
      </w:rPr>
      <w:tblPr/>
      <w:tcPr>
        <w:shd w:val="clear" w:color="auto" w:fill="942757" w:themeFill="accent3"/>
        <w:vAlign w:val="bottom"/>
      </w:tcPr>
    </w:tblStylePr>
  </w:style>
  <w:style w:type="table" w:customStyle="1" w:styleId="Watson51">
    <w:name w:val="Watson5.1"/>
    <w:basedOn w:val="Watson11"/>
    <w:uiPriority w:val="99"/>
    <w:rsid w:val="006E7CCE"/>
    <w:tblPr>
      <w:tblBorders>
        <w:top w:val="single" w:sz="4" w:space="0" w:color="83A354" w:themeColor="accent4"/>
        <w:left w:val="single" w:sz="4" w:space="0" w:color="83A354" w:themeColor="accent4"/>
        <w:bottom w:val="single" w:sz="4" w:space="0" w:color="83A354" w:themeColor="accent4"/>
        <w:right w:val="single" w:sz="4" w:space="0" w:color="83A354" w:themeColor="accent4"/>
        <w:insideH w:val="single" w:sz="4" w:space="0" w:color="83A354" w:themeColor="accent4"/>
        <w:insideV w:val="single" w:sz="4" w:space="0" w:color="83A354" w:themeColor="accent4"/>
      </w:tblBorders>
    </w:tblPr>
    <w:tblStylePr w:type="firstRow">
      <w:pPr>
        <w:wordWrap/>
        <w:spacing w:beforeLines="0" w:before="120" w:beforeAutospacing="0" w:afterLines="0" w:after="120" w:afterAutospacing="0" w:line="240" w:lineRule="auto"/>
        <w:jc w:val="center"/>
      </w:pPr>
      <w:rPr>
        <w:rFonts w:asciiTheme="majorHAnsi" w:hAnsiTheme="majorHAnsi"/>
        <w:b/>
        <w:bCs/>
        <w:color w:val="212931" w:themeColor="text1" w:themeShade="80"/>
        <w:sz w:val="24"/>
        <w:szCs w:val="24"/>
      </w:rPr>
      <w:tblPr/>
      <w:tcPr>
        <w:tcBorders>
          <w:top w:val="single" w:sz="4" w:space="0" w:color="83A354" w:themeColor="accent4"/>
          <w:left w:val="single" w:sz="4" w:space="0" w:color="83A354" w:themeColor="accent4"/>
          <w:bottom w:val="single" w:sz="4" w:space="0" w:color="83A354" w:themeColor="accent4"/>
          <w:right w:val="single" w:sz="4" w:space="0" w:color="83A354" w:themeColor="accent4"/>
          <w:insideH w:val="nil"/>
          <w:insideV w:val="single" w:sz="4" w:space="0" w:color="FFFFFF" w:themeColor="background1"/>
          <w:tl2br w:val="nil"/>
          <w:tr2bl w:val="nil"/>
        </w:tcBorders>
        <w:shd w:val="clear" w:color="auto" w:fill="83A354" w:themeFill="accent4"/>
      </w:tcPr>
    </w:tblStylePr>
    <w:tblStylePr w:type="firstCol">
      <w:pPr>
        <w:wordWrap/>
        <w:spacing w:beforeLines="0" w:before="0" w:beforeAutospacing="0" w:afterLines="0" w:after="0" w:afterAutospacing="0" w:line="240" w:lineRule="auto"/>
        <w:jc w:val="left"/>
      </w:pPr>
      <w:rPr>
        <w:rFonts w:asciiTheme="majorHAnsi" w:hAnsiTheme="majorHAnsi"/>
        <w:b/>
        <w:color w:val="212931" w:themeColor="text1" w:themeShade="80"/>
        <w:sz w:val="24"/>
      </w:rPr>
      <w:tblPr/>
      <w:tcPr>
        <w:shd w:val="clear" w:color="auto" w:fill="B4C996" w:themeFill="accent4" w:themeFillTint="99"/>
      </w:tcPr>
    </w:tblStylePr>
    <w:tblStylePr w:type="nwCell">
      <w:pPr>
        <w:wordWrap/>
        <w:spacing w:beforeLines="0" w:before="120" w:beforeAutospacing="0" w:afterLines="0" w:after="120" w:afterAutospacing="0" w:line="240" w:lineRule="auto"/>
        <w:jc w:val="left"/>
      </w:pPr>
      <w:rPr>
        <w:rFonts w:asciiTheme="majorHAnsi" w:hAnsiTheme="majorHAnsi"/>
        <w:b/>
        <w:color w:val="212931" w:themeColor="text1" w:themeShade="80"/>
        <w:sz w:val="24"/>
      </w:rPr>
      <w:tblPr/>
      <w:tcPr>
        <w:shd w:val="clear" w:color="auto" w:fill="83A354" w:themeFill="accent4"/>
        <w:vAlign w:val="bottom"/>
      </w:tcPr>
    </w:tblStylePr>
  </w:style>
  <w:style w:type="table" w:customStyle="1" w:styleId="Watson61">
    <w:name w:val="Watson6.1"/>
    <w:basedOn w:val="Watson11"/>
    <w:uiPriority w:val="99"/>
    <w:rsid w:val="008F2324"/>
    <w:tblPr>
      <w:tblBorders>
        <w:top w:val="single" w:sz="4" w:space="0" w:color="434F7F" w:themeColor="accent5"/>
        <w:left w:val="single" w:sz="4" w:space="0" w:color="434F7F" w:themeColor="accent5"/>
        <w:bottom w:val="single" w:sz="4" w:space="0" w:color="434F7F" w:themeColor="accent5"/>
        <w:right w:val="single" w:sz="4" w:space="0" w:color="434F7F" w:themeColor="accent5"/>
        <w:insideH w:val="single" w:sz="4" w:space="0" w:color="434F7F" w:themeColor="accent5"/>
        <w:insideV w:val="single" w:sz="4" w:space="0" w:color="434F7F" w:themeColor="accent5"/>
      </w:tblBorders>
    </w:tblPr>
    <w:tcPr>
      <w:shd w:val="clear" w:color="auto" w:fill="auto"/>
    </w:tcPr>
    <w:tblStylePr w:type="firstRow">
      <w:pPr>
        <w:wordWrap/>
        <w:spacing w:beforeLines="0" w:before="120" w:beforeAutospacing="0" w:afterLines="0" w:after="120" w:afterAutospacing="0" w:line="240" w:lineRule="auto"/>
        <w:jc w:val="center"/>
      </w:pPr>
      <w:rPr>
        <w:rFonts w:asciiTheme="majorHAnsi" w:hAnsiTheme="majorHAnsi"/>
        <w:b/>
        <w:bCs/>
        <w:color w:val="FFFFFF" w:themeColor="background1"/>
        <w:sz w:val="24"/>
        <w:szCs w:val="24"/>
      </w:rPr>
      <w:tblPr/>
      <w:tcPr>
        <w:tcBorders>
          <w:top w:val="single" w:sz="4" w:space="0" w:color="434F7F" w:themeColor="accent5"/>
          <w:left w:val="single" w:sz="4" w:space="0" w:color="434F7F" w:themeColor="accent5"/>
          <w:bottom w:val="single" w:sz="4" w:space="0" w:color="434F7F" w:themeColor="accent5"/>
          <w:right w:val="single" w:sz="4" w:space="0" w:color="434F7F" w:themeColor="accent5"/>
          <w:insideH w:val="nil"/>
          <w:insideV w:val="single" w:sz="4" w:space="0" w:color="FFFFFF" w:themeColor="background1"/>
          <w:tl2br w:val="nil"/>
          <w:tr2bl w:val="nil"/>
        </w:tcBorders>
        <w:shd w:val="clear" w:color="auto" w:fill="434F7F" w:themeFill="accent5"/>
      </w:tcPr>
    </w:tblStylePr>
    <w:tblStylePr w:type="firstCol">
      <w:pPr>
        <w:wordWrap/>
        <w:spacing w:beforeLines="0" w:before="0" w:beforeAutospacing="0" w:afterLines="0" w:after="0" w:afterAutospacing="0" w:line="240" w:lineRule="auto"/>
        <w:jc w:val="left"/>
      </w:pPr>
      <w:rPr>
        <w:rFonts w:asciiTheme="majorHAnsi" w:hAnsiTheme="majorHAnsi"/>
        <w:b/>
        <w:color w:val="212931" w:themeColor="text1" w:themeShade="80"/>
        <w:sz w:val="24"/>
      </w:rPr>
      <w:tblPr/>
      <w:tcPr>
        <w:shd w:val="clear" w:color="auto" w:fill="828EBD" w:themeFill="accent5" w:themeFillTint="99"/>
      </w:tcPr>
    </w:tblStylePr>
    <w:tblStylePr w:type="nwCell">
      <w:pPr>
        <w:wordWrap/>
        <w:spacing w:beforeLines="0" w:before="120" w:beforeAutospacing="0" w:afterLines="0" w:after="120" w:afterAutospacing="0" w:line="240" w:lineRule="auto"/>
        <w:jc w:val="left"/>
      </w:pPr>
      <w:rPr>
        <w:rFonts w:asciiTheme="majorHAnsi" w:hAnsiTheme="majorHAnsi"/>
        <w:b/>
        <w:color w:val="FFFFFF" w:themeColor="background1"/>
        <w:sz w:val="24"/>
      </w:rPr>
      <w:tblPr/>
      <w:tcPr>
        <w:shd w:val="clear" w:color="auto" w:fill="434F7F" w:themeFill="accent5"/>
        <w:vAlign w:val="bottom"/>
      </w:tcPr>
    </w:tblStylePr>
  </w:style>
  <w:style w:type="table" w:customStyle="1" w:styleId="Watson71">
    <w:name w:val="Watson7.1"/>
    <w:basedOn w:val="Watson11"/>
    <w:uiPriority w:val="99"/>
    <w:rsid w:val="008F2324"/>
    <w:tblPr>
      <w:tblBorders>
        <w:top w:val="single" w:sz="4" w:space="0" w:color="2E826B" w:themeColor="accent6"/>
        <w:left w:val="single" w:sz="4" w:space="0" w:color="2E826B" w:themeColor="accent6"/>
        <w:bottom w:val="single" w:sz="4" w:space="0" w:color="2E826B" w:themeColor="accent6"/>
        <w:right w:val="single" w:sz="4" w:space="0" w:color="2E826B" w:themeColor="accent6"/>
        <w:insideH w:val="single" w:sz="4" w:space="0" w:color="2E826B" w:themeColor="accent6"/>
        <w:insideV w:val="single" w:sz="4" w:space="0" w:color="2E826B" w:themeColor="accent6"/>
      </w:tblBorders>
    </w:tblPr>
    <w:tcPr>
      <w:shd w:val="clear" w:color="auto" w:fill="auto"/>
    </w:tcPr>
    <w:tblStylePr w:type="firstRow">
      <w:pPr>
        <w:wordWrap/>
        <w:spacing w:beforeLines="0" w:before="120" w:beforeAutospacing="0" w:afterLines="0" w:after="120" w:afterAutospacing="0" w:line="240" w:lineRule="auto"/>
        <w:jc w:val="center"/>
      </w:pPr>
      <w:rPr>
        <w:rFonts w:asciiTheme="majorHAnsi" w:hAnsiTheme="majorHAnsi"/>
        <w:b/>
        <w:bCs/>
        <w:color w:val="FFFFFF" w:themeColor="background1"/>
        <w:sz w:val="24"/>
        <w:szCs w:val="24"/>
      </w:rPr>
      <w:tblPr/>
      <w:tcPr>
        <w:tcBorders>
          <w:top w:val="single" w:sz="4" w:space="0" w:color="2E826B" w:themeColor="accent6"/>
          <w:left w:val="single" w:sz="4" w:space="0" w:color="2E826B" w:themeColor="accent6"/>
          <w:bottom w:val="single" w:sz="4" w:space="0" w:color="2E826B" w:themeColor="accent6"/>
          <w:right w:val="single" w:sz="4" w:space="0" w:color="2E826B" w:themeColor="accent6"/>
          <w:insideH w:val="nil"/>
          <w:insideV w:val="single" w:sz="4" w:space="0" w:color="FFFFFF" w:themeColor="background1"/>
          <w:tl2br w:val="nil"/>
          <w:tr2bl w:val="nil"/>
        </w:tcBorders>
        <w:shd w:val="clear" w:color="auto" w:fill="2E826B" w:themeFill="accent6"/>
      </w:tcPr>
    </w:tblStylePr>
    <w:tblStylePr w:type="firstCol">
      <w:pPr>
        <w:wordWrap/>
        <w:spacing w:beforeLines="0" w:before="0" w:beforeAutospacing="0" w:afterLines="0" w:after="0" w:afterAutospacing="0" w:line="240" w:lineRule="auto"/>
        <w:jc w:val="left"/>
      </w:pPr>
      <w:rPr>
        <w:rFonts w:asciiTheme="majorHAnsi" w:hAnsiTheme="majorHAnsi"/>
        <w:b/>
        <w:color w:val="212931" w:themeColor="text1" w:themeShade="80"/>
        <w:sz w:val="24"/>
      </w:rPr>
      <w:tblPr/>
      <w:tcPr>
        <w:shd w:val="clear" w:color="auto" w:fill="6ACAB0" w:themeFill="accent6" w:themeFillTint="99"/>
      </w:tcPr>
    </w:tblStylePr>
    <w:tblStylePr w:type="nwCell">
      <w:pPr>
        <w:wordWrap/>
        <w:spacing w:beforeLines="0" w:before="120" w:beforeAutospacing="0" w:afterLines="0" w:after="120" w:afterAutospacing="0" w:line="240" w:lineRule="auto"/>
        <w:jc w:val="left"/>
      </w:pPr>
      <w:rPr>
        <w:rFonts w:asciiTheme="majorHAnsi" w:hAnsiTheme="majorHAnsi"/>
        <w:b/>
        <w:color w:val="FFFFFF" w:themeColor="background1"/>
        <w:sz w:val="24"/>
      </w:rPr>
      <w:tblPr/>
      <w:tcPr>
        <w:shd w:val="clear" w:color="auto" w:fill="2E826B" w:themeFill="accent6"/>
        <w:vAlign w:val="bottom"/>
      </w:tcPr>
    </w:tblStylePr>
  </w:style>
  <w:style w:type="table" w:customStyle="1" w:styleId="Watson22">
    <w:name w:val="Watson2.2"/>
    <w:basedOn w:val="Watson12"/>
    <w:uiPriority w:val="99"/>
    <w:rsid w:val="006E7CCE"/>
    <w:tblPr>
      <w:tblBorders>
        <w:top w:val="single" w:sz="4" w:space="0" w:color="EB6B34" w:themeColor="accent1"/>
        <w:left w:val="single" w:sz="4" w:space="0" w:color="EB6B34" w:themeColor="accent1"/>
        <w:bottom w:val="single" w:sz="4" w:space="0" w:color="EB6B34" w:themeColor="accent1"/>
        <w:right w:val="single" w:sz="4" w:space="0" w:color="EB6B34" w:themeColor="accent1"/>
        <w:insideH w:val="single" w:sz="4" w:space="0" w:color="EB6B34" w:themeColor="accent1"/>
        <w:insideV w:val="single" w:sz="4" w:space="0" w:color="EB6B34" w:themeColor="accent1"/>
      </w:tblBorders>
    </w:tblPr>
    <w:tcPr>
      <w:shd w:val="clear" w:color="auto" w:fill="auto"/>
    </w:tcPr>
    <w:tblStylePr w:type="firstRow">
      <w:pPr>
        <w:wordWrap/>
        <w:spacing w:beforeLines="0" w:before="120" w:beforeAutospacing="0" w:afterLines="0" w:after="120" w:afterAutospacing="0" w:line="240" w:lineRule="auto"/>
        <w:jc w:val="center"/>
      </w:pPr>
      <w:rPr>
        <w:rFonts w:asciiTheme="majorHAnsi" w:hAnsiTheme="majorHAnsi"/>
        <w:b/>
        <w:bCs/>
        <w:color w:val="212931" w:themeColor="text1" w:themeShade="80"/>
        <w:sz w:val="24"/>
        <w:szCs w:val="24"/>
      </w:rPr>
      <w:tblPr/>
      <w:tcPr>
        <w:tcBorders>
          <w:top w:val="single" w:sz="4" w:space="0" w:color="EB6B34" w:themeColor="accent1"/>
          <w:left w:val="single" w:sz="4" w:space="0" w:color="EB6B34" w:themeColor="accent1"/>
          <w:bottom w:val="single" w:sz="4" w:space="0" w:color="EB6B34" w:themeColor="accent1"/>
          <w:right w:val="single" w:sz="4" w:space="0" w:color="EB6B34" w:themeColor="accent1"/>
          <w:insideH w:val="nil"/>
          <w:insideV w:val="single" w:sz="4" w:space="0" w:color="FFFFFF" w:themeColor="background1"/>
          <w:tl2br w:val="nil"/>
          <w:tr2bl w:val="nil"/>
        </w:tcBorders>
        <w:shd w:val="clear" w:color="auto" w:fill="EB6B34" w:themeFill="accent1"/>
      </w:tcPr>
    </w:tblStylePr>
    <w:tblStylePr w:type="lastRow">
      <w:rPr>
        <w:b/>
        <w:bCs/>
      </w:rPr>
      <w:tblPr/>
      <w:tcPr>
        <w:tcBorders>
          <w:top w:val="single" w:sz="4" w:space="0" w:color="EB6B34" w:themeColor="accent1"/>
          <w:left w:val="single" w:sz="4" w:space="0" w:color="EB6B34" w:themeColor="accent1"/>
          <w:bottom w:val="single" w:sz="4" w:space="0" w:color="EB6B34" w:themeColor="accent1"/>
          <w:right w:val="single" w:sz="4" w:space="0" w:color="EB6B34" w:themeColor="accent1"/>
          <w:insideH w:val="single" w:sz="4" w:space="0" w:color="EB6B34" w:themeColor="accent1"/>
          <w:insideV w:val="single" w:sz="4" w:space="0" w:color="EB6B34" w:themeColor="accent1"/>
        </w:tcBorders>
        <w:shd w:val="clear" w:color="auto" w:fill="FFFFFF" w:themeFill="background1"/>
      </w:tcPr>
    </w:tblStylePr>
    <w:tblStylePr w:type="firstCol">
      <w:pPr>
        <w:wordWrap/>
        <w:spacing w:beforeLines="0" w:before="0" w:beforeAutospacing="0" w:afterLines="0" w:after="0" w:afterAutospacing="0" w:line="240" w:lineRule="auto"/>
        <w:ind w:leftChars="0" w:left="0" w:rightChars="0" w:right="0"/>
        <w:contextualSpacing w:val="0"/>
        <w:jc w:val="center"/>
      </w:pPr>
      <w:rPr>
        <w:rFonts w:asciiTheme="majorHAnsi" w:hAnsiTheme="majorHAnsi"/>
        <w:b/>
        <w:bCs/>
        <w:color w:val="6E6E6E" w:themeColor="background2"/>
        <w:spacing w:val="0"/>
        <w:sz w:val="24"/>
      </w:rPr>
      <w:tblPr/>
      <w:tcPr>
        <w:tcBorders>
          <w:top w:val="single" w:sz="4" w:space="0" w:color="425364" w:themeColor="text1"/>
          <w:left w:val="single" w:sz="4" w:space="0" w:color="425364" w:themeColor="text1"/>
          <w:bottom w:val="single" w:sz="4" w:space="0" w:color="425364" w:themeColor="text1"/>
          <w:right w:val="nil"/>
          <w:insideH w:val="single" w:sz="4" w:space="0" w:color="425364" w:themeColor="text1"/>
          <w:insideV w:val="single" w:sz="4" w:space="0" w:color="425364" w:themeColor="text1"/>
        </w:tcBorders>
        <w:shd w:val="clear" w:color="auto" w:fill="FFFFFF" w:themeFill="background1"/>
      </w:tcPr>
    </w:tblStylePr>
    <w:tblStylePr w:type="lastCol">
      <w:rPr>
        <w:b/>
        <w:bCs/>
      </w:rPr>
      <w:tblPr/>
      <w:tcPr>
        <w:tcBorders>
          <w:top w:val="single" w:sz="4" w:space="0" w:color="EB6B34" w:themeColor="accent1"/>
          <w:left w:val="single" w:sz="4" w:space="0" w:color="EB6B34" w:themeColor="accent1"/>
          <w:bottom w:val="single" w:sz="4" w:space="0" w:color="EB6B34" w:themeColor="accent1"/>
          <w:right w:val="single" w:sz="4" w:space="0" w:color="EB6B34" w:themeColor="accent1"/>
          <w:insideH w:val="single" w:sz="4" w:space="0" w:color="EB6B34" w:themeColor="accent1"/>
          <w:insideV w:val="single" w:sz="4" w:space="0" w:color="EB6B34" w:themeColor="accent1"/>
        </w:tcBorders>
        <w:shd w:val="clear" w:color="auto" w:fill="FFFFFF" w:themeFill="background1"/>
      </w:tcPr>
    </w:tblStylePr>
    <w:tblStylePr w:type="band1Vert">
      <w:pPr>
        <w:jc w:val="center"/>
      </w:pPr>
      <w:tblPr/>
      <w:tcPr>
        <w:tcBorders>
          <w:top w:val="single" w:sz="4" w:space="0" w:color="EB6B34" w:themeColor="accent1"/>
          <w:left w:val="single" w:sz="4" w:space="0" w:color="EB6B34" w:themeColor="accent1"/>
          <w:bottom w:val="single" w:sz="4" w:space="0" w:color="EB6B34" w:themeColor="accent1"/>
          <w:right w:val="single" w:sz="4" w:space="0" w:color="EB6B34" w:themeColor="accent1"/>
          <w:insideH w:val="single" w:sz="4" w:space="0" w:color="EB6B34" w:themeColor="accent1"/>
          <w:insideV w:val="single" w:sz="4" w:space="0" w:color="EB6B34" w:themeColor="accent1"/>
        </w:tcBorders>
        <w:shd w:val="clear" w:color="auto" w:fill="auto"/>
      </w:tcPr>
    </w:tblStylePr>
    <w:tblStylePr w:type="band2Vert">
      <w:tblPr/>
      <w:tcPr>
        <w:tcBorders>
          <w:top w:val="single" w:sz="4" w:space="0" w:color="EB6B34" w:themeColor="accent1"/>
          <w:left w:val="single" w:sz="4" w:space="0" w:color="EB6B34" w:themeColor="accent1"/>
          <w:bottom w:val="single" w:sz="4" w:space="0" w:color="EB6B34" w:themeColor="accent1"/>
          <w:right w:val="single" w:sz="4" w:space="0" w:color="EB6B34" w:themeColor="accent1"/>
          <w:insideH w:val="single" w:sz="4" w:space="0" w:color="EB6B34" w:themeColor="accent1"/>
          <w:insideV w:val="single" w:sz="4" w:space="0" w:color="EB6B34" w:themeColor="accent1"/>
        </w:tcBorders>
        <w:shd w:val="clear" w:color="auto" w:fill="auto"/>
      </w:tcPr>
    </w:tblStylePr>
    <w:tblStylePr w:type="band1Horz">
      <w:tblPr/>
      <w:tcPr>
        <w:tcBorders>
          <w:top w:val="single" w:sz="4" w:space="0" w:color="EB6B34" w:themeColor="accent1"/>
          <w:left w:val="single" w:sz="4" w:space="0" w:color="EB6B34" w:themeColor="accent1"/>
          <w:bottom w:val="single" w:sz="4" w:space="0" w:color="EB6B34" w:themeColor="accent1"/>
          <w:right w:val="single" w:sz="4" w:space="0" w:color="EB6B34" w:themeColor="accent1"/>
          <w:insideH w:val="single" w:sz="4" w:space="0" w:color="EB6B34" w:themeColor="accent1"/>
          <w:insideV w:val="single" w:sz="4" w:space="0" w:color="EB6B34" w:themeColor="accent1"/>
        </w:tcBorders>
        <w:shd w:val="clear" w:color="auto" w:fill="auto"/>
      </w:tcPr>
    </w:tblStylePr>
    <w:tblStylePr w:type="band2Horz">
      <w:tblPr/>
      <w:tcPr>
        <w:tcBorders>
          <w:top w:val="single" w:sz="4" w:space="0" w:color="EB6B34" w:themeColor="accent1"/>
          <w:left w:val="single" w:sz="4" w:space="0" w:color="EB6B34" w:themeColor="accent1"/>
          <w:bottom w:val="single" w:sz="4" w:space="0" w:color="EB6B34" w:themeColor="accent1"/>
          <w:right w:val="single" w:sz="4" w:space="0" w:color="EB6B34" w:themeColor="accent1"/>
          <w:insideH w:val="single" w:sz="4" w:space="0" w:color="EB6B34" w:themeColor="accent1"/>
          <w:insideV w:val="single" w:sz="4" w:space="0" w:color="EB6B34" w:themeColor="accent1"/>
        </w:tcBorders>
        <w:shd w:val="clear" w:color="auto" w:fill="auto"/>
      </w:tcPr>
    </w:tblStylePr>
    <w:tblStylePr w:type="neCell">
      <w:tblPr/>
      <w:tcPr>
        <w:tcBorders>
          <w:left w:val="nil"/>
          <w:bottom w:val="nil"/>
        </w:tcBorders>
      </w:tcPr>
    </w:tblStylePr>
    <w:tblStylePr w:type="nwCell">
      <w:pPr>
        <w:wordWrap/>
        <w:spacing w:beforeLines="0" w:before="120" w:beforeAutospacing="0" w:afterLines="0" w:after="120" w:afterAutospacing="0" w:line="240" w:lineRule="auto"/>
        <w:jc w:val="center"/>
      </w:pPr>
      <w:rPr>
        <w:rFonts w:asciiTheme="majorHAnsi" w:hAnsiTheme="majorHAnsi"/>
        <w:b/>
        <w:color w:val="212931" w:themeColor="text1" w:themeShade="80"/>
        <w:sz w:val="24"/>
      </w:rPr>
      <w:tblPr/>
      <w:tcPr>
        <w:tcBorders>
          <w:bottom w:val="nil"/>
          <w:right w:val="nil"/>
        </w:tcBorders>
        <w:shd w:val="clear" w:color="auto" w:fill="EB6B34" w:themeFill="accent1"/>
      </w:tcPr>
    </w:tblStylePr>
    <w:tblStylePr w:type="seCell">
      <w:tblPr/>
      <w:tcPr>
        <w:tcBorders>
          <w:top w:val="single" w:sz="4" w:space="0" w:color="EB6B34" w:themeColor="accent1"/>
          <w:left w:val="single" w:sz="4" w:space="0" w:color="EB6B34" w:themeColor="accent1"/>
          <w:bottom w:val="single" w:sz="4" w:space="0" w:color="EB6B34" w:themeColor="accent1"/>
          <w:right w:val="single" w:sz="4" w:space="0" w:color="EB6B34" w:themeColor="accent1"/>
          <w:insideH w:val="single" w:sz="4" w:space="0" w:color="EB6B34" w:themeColor="accent1"/>
          <w:insideV w:val="single" w:sz="4" w:space="0" w:color="EB6B34" w:themeColor="accent1"/>
        </w:tcBorders>
        <w:shd w:val="clear" w:color="auto" w:fill="auto"/>
      </w:tcPr>
    </w:tblStylePr>
    <w:tblStylePr w:type="swCell">
      <w:tblPr/>
      <w:tcPr>
        <w:tcBorders>
          <w:top w:val="single" w:sz="4" w:space="0" w:color="EB6B34" w:themeColor="accent1"/>
          <w:left w:val="single" w:sz="4" w:space="0" w:color="EB6B34" w:themeColor="accent1"/>
          <w:bottom w:val="single" w:sz="4" w:space="0" w:color="EB6B34" w:themeColor="accent1"/>
          <w:right w:val="single" w:sz="4" w:space="0" w:color="EB6B34" w:themeColor="accent1"/>
          <w:insideH w:val="single" w:sz="4" w:space="0" w:color="EB6B34" w:themeColor="accent1"/>
          <w:insideV w:val="single" w:sz="4" w:space="0" w:color="EB6B34" w:themeColor="accent1"/>
        </w:tcBorders>
        <w:shd w:val="clear" w:color="auto" w:fill="auto"/>
      </w:tcPr>
    </w:tblStylePr>
  </w:style>
  <w:style w:type="table" w:customStyle="1" w:styleId="Watson32">
    <w:name w:val="Watson3.2"/>
    <w:basedOn w:val="Watson12"/>
    <w:uiPriority w:val="99"/>
    <w:rsid w:val="006E7CCE"/>
    <w:tblPr>
      <w:tblBorders>
        <w:top w:val="single" w:sz="4" w:space="0" w:color="35A0A4" w:themeColor="accent2"/>
        <w:left w:val="single" w:sz="4" w:space="0" w:color="35A0A4" w:themeColor="accent2"/>
        <w:bottom w:val="single" w:sz="4" w:space="0" w:color="35A0A4" w:themeColor="accent2"/>
        <w:right w:val="single" w:sz="4" w:space="0" w:color="35A0A4" w:themeColor="accent2"/>
        <w:insideH w:val="single" w:sz="4" w:space="0" w:color="35A0A4" w:themeColor="accent2"/>
        <w:insideV w:val="single" w:sz="4" w:space="0" w:color="35A0A4" w:themeColor="accent2"/>
      </w:tblBorders>
    </w:tblPr>
    <w:tcPr>
      <w:shd w:val="clear" w:color="auto" w:fill="auto"/>
    </w:tcPr>
    <w:tblStylePr w:type="firstRow">
      <w:pPr>
        <w:wordWrap/>
        <w:spacing w:beforeLines="0" w:before="120" w:beforeAutospacing="0" w:afterLines="0" w:after="120" w:afterAutospacing="0" w:line="240" w:lineRule="auto"/>
        <w:jc w:val="center"/>
      </w:pPr>
      <w:rPr>
        <w:rFonts w:asciiTheme="majorHAnsi" w:hAnsiTheme="majorHAnsi"/>
        <w:b/>
        <w:bCs/>
        <w:color w:val="212931" w:themeColor="text1" w:themeShade="80"/>
        <w:sz w:val="24"/>
        <w:szCs w:val="24"/>
      </w:rPr>
      <w:tblPr/>
      <w:tcPr>
        <w:tcBorders>
          <w:top w:val="single" w:sz="4" w:space="0" w:color="35A0A4" w:themeColor="accent2"/>
          <w:left w:val="single" w:sz="4" w:space="0" w:color="35A0A4" w:themeColor="accent2"/>
          <w:bottom w:val="single" w:sz="4" w:space="0" w:color="35A0A4" w:themeColor="accent2"/>
          <w:right w:val="single" w:sz="4" w:space="0" w:color="35A0A4" w:themeColor="accent2"/>
          <w:insideH w:val="nil"/>
          <w:insideV w:val="single" w:sz="4" w:space="0" w:color="FFFFFF" w:themeColor="background1"/>
          <w:tl2br w:val="nil"/>
          <w:tr2bl w:val="nil"/>
        </w:tcBorders>
        <w:shd w:val="clear" w:color="auto" w:fill="35A0A4" w:themeFill="accent2"/>
      </w:tcPr>
    </w:tblStylePr>
    <w:tblStylePr w:type="lastRow">
      <w:rPr>
        <w:b/>
        <w:bCs/>
      </w:rPr>
      <w:tblPr/>
      <w:tcPr>
        <w:tcBorders>
          <w:top w:val="single" w:sz="4" w:space="0" w:color="35A0A4" w:themeColor="accent2"/>
          <w:left w:val="single" w:sz="4" w:space="0" w:color="35A0A4" w:themeColor="accent2"/>
          <w:bottom w:val="single" w:sz="4" w:space="0" w:color="35A0A4" w:themeColor="accent2"/>
          <w:right w:val="single" w:sz="4" w:space="0" w:color="35A0A4" w:themeColor="accent2"/>
          <w:insideH w:val="single" w:sz="4" w:space="0" w:color="35A0A4" w:themeColor="accent2"/>
          <w:insideV w:val="single" w:sz="4" w:space="0" w:color="35A0A4" w:themeColor="accent2"/>
        </w:tcBorders>
        <w:shd w:val="clear" w:color="auto" w:fill="FFFFFF" w:themeFill="background1"/>
      </w:tcPr>
    </w:tblStylePr>
    <w:tblStylePr w:type="firstCol">
      <w:pPr>
        <w:wordWrap/>
        <w:spacing w:beforeLines="0" w:before="0" w:beforeAutospacing="0" w:afterLines="0" w:after="0" w:afterAutospacing="0" w:line="240" w:lineRule="auto"/>
        <w:ind w:leftChars="0" w:left="0" w:rightChars="0" w:right="0"/>
        <w:contextualSpacing w:val="0"/>
        <w:jc w:val="center"/>
      </w:pPr>
      <w:rPr>
        <w:rFonts w:asciiTheme="majorHAnsi" w:hAnsiTheme="majorHAnsi"/>
        <w:b/>
        <w:bCs/>
        <w:color w:val="6E6E6E" w:themeColor="background2"/>
        <w:spacing w:val="0"/>
        <w:sz w:val="24"/>
      </w:rPr>
      <w:tblPr/>
      <w:tcPr>
        <w:tcBorders>
          <w:top w:val="single" w:sz="4" w:space="0" w:color="35A0A4" w:themeColor="accent2"/>
          <w:left w:val="single" w:sz="4" w:space="0" w:color="35A0A4" w:themeColor="accent2"/>
          <w:bottom w:val="single" w:sz="4" w:space="0" w:color="35A0A4" w:themeColor="accent2"/>
          <w:right w:val="single" w:sz="4" w:space="0" w:color="35A0A4" w:themeColor="accent2"/>
          <w:insideH w:val="single" w:sz="4" w:space="0" w:color="35A0A4" w:themeColor="accent2"/>
          <w:insideV w:val="single" w:sz="4" w:space="0" w:color="35A0A4" w:themeColor="accent2"/>
        </w:tcBorders>
        <w:shd w:val="clear" w:color="auto" w:fill="FFFFFF" w:themeFill="background1"/>
      </w:tcPr>
    </w:tblStylePr>
    <w:tblStylePr w:type="lastCol">
      <w:rPr>
        <w:b/>
        <w:bCs/>
      </w:rPr>
      <w:tblPr/>
      <w:tcPr>
        <w:tcBorders>
          <w:top w:val="single" w:sz="4" w:space="0" w:color="35A0A4" w:themeColor="accent2"/>
          <w:left w:val="single" w:sz="4" w:space="0" w:color="35A0A4" w:themeColor="accent2"/>
          <w:bottom w:val="single" w:sz="4" w:space="0" w:color="35A0A4" w:themeColor="accent2"/>
          <w:right w:val="single" w:sz="4" w:space="0" w:color="35A0A4" w:themeColor="accent2"/>
          <w:insideH w:val="single" w:sz="4" w:space="0" w:color="35A0A4" w:themeColor="accent2"/>
          <w:insideV w:val="single" w:sz="4" w:space="0" w:color="35A0A4" w:themeColor="accent2"/>
        </w:tcBorders>
        <w:shd w:val="clear" w:color="auto" w:fill="FFFFFF" w:themeFill="background1"/>
      </w:tcPr>
    </w:tblStylePr>
    <w:tblStylePr w:type="band1Vert">
      <w:pPr>
        <w:jc w:val="center"/>
      </w:pPr>
      <w:tblPr/>
      <w:tcPr>
        <w:tcBorders>
          <w:top w:val="single" w:sz="4" w:space="0" w:color="35A0A4" w:themeColor="accent2"/>
          <w:left w:val="single" w:sz="4" w:space="0" w:color="35A0A4" w:themeColor="accent2"/>
          <w:bottom w:val="single" w:sz="4" w:space="0" w:color="35A0A4" w:themeColor="accent2"/>
          <w:right w:val="single" w:sz="4" w:space="0" w:color="35A0A4" w:themeColor="accent2"/>
          <w:insideH w:val="single" w:sz="4" w:space="0" w:color="35A0A4" w:themeColor="accent2"/>
          <w:insideV w:val="single" w:sz="4" w:space="0" w:color="35A0A4" w:themeColor="accent2"/>
        </w:tcBorders>
        <w:shd w:val="clear" w:color="auto" w:fill="auto"/>
      </w:tcPr>
    </w:tblStylePr>
    <w:tblStylePr w:type="band2Vert">
      <w:tblPr/>
      <w:tcPr>
        <w:tcBorders>
          <w:top w:val="single" w:sz="4" w:space="0" w:color="35A0A4" w:themeColor="accent2"/>
          <w:left w:val="single" w:sz="4" w:space="0" w:color="35A0A4" w:themeColor="accent2"/>
          <w:bottom w:val="single" w:sz="4" w:space="0" w:color="35A0A4" w:themeColor="accent2"/>
          <w:right w:val="single" w:sz="4" w:space="0" w:color="35A0A4" w:themeColor="accent2"/>
          <w:insideH w:val="single" w:sz="4" w:space="0" w:color="35A0A4" w:themeColor="accent2"/>
          <w:insideV w:val="single" w:sz="4" w:space="0" w:color="35A0A4" w:themeColor="accent2"/>
        </w:tcBorders>
        <w:shd w:val="clear" w:color="auto" w:fill="auto"/>
      </w:tcPr>
    </w:tblStylePr>
    <w:tblStylePr w:type="band1Horz">
      <w:tblPr/>
      <w:tcPr>
        <w:tcBorders>
          <w:top w:val="single" w:sz="4" w:space="0" w:color="35A0A4" w:themeColor="accent2"/>
          <w:left w:val="single" w:sz="4" w:space="0" w:color="35A0A4" w:themeColor="accent2"/>
          <w:bottom w:val="single" w:sz="4" w:space="0" w:color="35A0A4" w:themeColor="accent2"/>
          <w:right w:val="single" w:sz="4" w:space="0" w:color="35A0A4" w:themeColor="accent2"/>
          <w:insideH w:val="single" w:sz="4" w:space="0" w:color="35A0A4" w:themeColor="accent2"/>
          <w:insideV w:val="single" w:sz="4" w:space="0" w:color="35A0A4" w:themeColor="accent2"/>
        </w:tcBorders>
        <w:shd w:val="clear" w:color="auto" w:fill="auto"/>
      </w:tcPr>
    </w:tblStylePr>
    <w:tblStylePr w:type="band2Horz">
      <w:tblPr/>
      <w:tcPr>
        <w:tcBorders>
          <w:top w:val="single" w:sz="4" w:space="0" w:color="35A0A4" w:themeColor="accent2"/>
          <w:left w:val="single" w:sz="4" w:space="0" w:color="35A0A4" w:themeColor="accent2"/>
          <w:bottom w:val="single" w:sz="4" w:space="0" w:color="35A0A4" w:themeColor="accent2"/>
          <w:right w:val="single" w:sz="4" w:space="0" w:color="35A0A4" w:themeColor="accent2"/>
          <w:insideH w:val="single" w:sz="4" w:space="0" w:color="35A0A4" w:themeColor="accent2"/>
          <w:insideV w:val="single" w:sz="4" w:space="0" w:color="35A0A4" w:themeColor="accent2"/>
        </w:tcBorders>
        <w:shd w:val="clear" w:color="auto" w:fill="auto"/>
      </w:tcPr>
    </w:tblStylePr>
    <w:tblStylePr w:type="neCell">
      <w:tblPr/>
      <w:tcPr>
        <w:tcBorders>
          <w:left w:val="nil"/>
          <w:bottom w:val="nil"/>
        </w:tcBorders>
      </w:tcPr>
    </w:tblStylePr>
    <w:tblStylePr w:type="nwCell">
      <w:pPr>
        <w:wordWrap/>
        <w:spacing w:beforeLines="0" w:before="120" w:beforeAutospacing="0" w:afterLines="0" w:after="120" w:afterAutospacing="0" w:line="240" w:lineRule="auto"/>
        <w:jc w:val="center"/>
      </w:pPr>
      <w:rPr>
        <w:rFonts w:asciiTheme="majorHAnsi" w:hAnsiTheme="majorHAnsi"/>
        <w:b/>
        <w:color w:val="212931" w:themeColor="text1" w:themeShade="80"/>
        <w:sz w:val="24"/>
      </w:rPr>
      <w:tblPr/>
      <w:tcPr>
        <w:tcBorders>
          <w:bottom w:val="nil"/>
          <w:right w:val="nil"/>
        </w:tcBorders>
        <w:shd w:val="clear" w:color="auto" w:fill="35A0A4" w:themeFill="accent2"/>
      </w:tcPr>
    </w:tblStylePr>
    <w:tblStylePr w:type="seCell">
      <w:tblPr/>
      <w:tcPr>
        <w:tcBorders>
          <w:top w:val="single" w:sz="4" w:space="0" w:color="35A0A4" w:themeColor="accent2"/>
          <w:left w:val="single" w:sz="4" w:space="0" w:color="35A0A4" w:themeColor="accent2"/>
          <w:bottom w:val="single" w:sz="4" w:space="0" w:color="35A0A4" w:themeColor="accent2"/>
          <w:right w:val="single" w:sz="4" w:space="0" w:color="35A0A4" w:themeColor="accent2"/>
          <w:insideH w:val="single" w:sz="4" w:space="0" w:color="35A0A4" w:themeColor="accent2"/>
          <w:insideV w:val="single" w:sz="4" w:space="0" w:color="35A0A4" w:themeColor="accent2"/>
        </w:tcBorders>
        <w:shd w:val="clear" w:color="auto" w:fill="auto"/>
      </w:tcPr>
    </w:tblStylePr>
    <w:tblStylePr w:type="swCell">
      <w:tblPr/>
      <w:tcPr>
        <w:tcBorders>
          <w:top w:val="single" w:sz="4" w:space="0" w:color="35A0A4" w:themeColor="accent2"/>
          <w:left w:val="single" w:sz="4" w:space="0" w:color="35A0A4" w:themeColor="accent2"/>
          <w:bottom w:val="single" w:sz="4" w:space="0" w:color="35A0A4" w:themeColor="accent2"/>
          <w:right w:val="single" w:sz="4" w:space="0" w:color="35A0A4" w:themeColor="accent2"/>
          <w:insideH w:val="single" w:sz="4" w:space="0" w:color="35A0A4" w:themeColor="accent2"/>
          <w:insideV w:val="single" w:sz="4" w:space="0" w:color="35A0A4" w:themeColor="accent2"/>
        </w:tcBorders>
        <w:shd w:val="clear" w:color="auto" w:fill="auto"/>
      </w:tcPr>
    </w:tblStylePr>
  </w:style>
  <w:style w:type="table" w:customStyle="1" w:styleId="Watson42">
    <w:name w:val="Watson4.2"/>
    <w:basedOn w:val="Watson12"/>
    <w:uiPriority w:val="99"/>
    <w:rsid w:val="005C60D9"/>
    <w:tblPr>
      <w:tblBorders>
        <w:top w:val="single" w:sz="4" w:space="0" w:color="942757" w:themeColor="accent3"/>
        <w:left w:val="single" w:sz="4" w:space="0" w:color="942757" w:themeColor="accent3"/>
        <w:bottom w:val="single" w:sz="4" w:space="0" w:color="942757" w:themeColor="accent3"/>
        <w:right w:val="single" w:sz="4" w:space="0" w:color="942757" w:themeColor="accent3"/>
        <w:insideH w:val="single" w:sz="4" w:space="0" w:color="942757" w:themeColor="accent3"/>
        <w:insideV w:val="single" w:sz="4" w:space="0" w:color="942757" w:themeColor="accent3"/>
      </w:tblBorders>
    </w:tblPr>
    <w:tcPr>
      <w:shd w:val="clear" w:color="auto" w:fill="auto"/>
    </w:tcPr>
    <w:tblStylePr w:type="firstRow">
      <w:pPr>
        <w:wordWrap/>
        <w:spacing w:beforeLines="0" w:before="120" w:beforeAutospacing="0" w:afterLines="0" w:after="120" w:afterAutospacing="0" w:line="240" w:lineRule="auto"/>
        <w:jc w:val="center"/>
      </w:pPr>
      <w:rPr>
        <w:rFonts w:asciiTheme="majorHAnsi" w:hAnsiTheme="majorHAnsi"/>
        <w:b/>
        <w:bCs/>
        <w:color w:val="FFFFFF" w:themeColor="background1"/>
        <w:sz w:val="24"/>
        <w:szCs w:val="24"/>
      </w:rPr>
      <w:tblPr/>
      <w:tcPr>
        <w:tcBorders>
          <w:top w:val="single" w:sz="4" w:space="0" w:color="942757" w:themeColor="accent3"/>
          <w:left w:val="single" w:sz="4" w:space="0" w:color="942757" w:themeColor="accent3"/>
          <w:bottom w:val="single" w:sz="4" w:space="0" w:color="942757" w:themeColor="accent3"/>
          <w:right w:val="single" w:sz="4" w:space="0" w:color="942757" w:themeColor="accent3"/>
          <w:insideH w:val="nil"/>
          <w:insideV w:val="single" w:sz="4" w:space="0" w:color="FFFFFF" w:themeColor="background1"/>
          <w:tl2br w:val="nil"/>
          <w:tr2bl w:val="nil"/>
        </w:tcBorders>
        <w:shd w:val="clear" w:color="auto" w:fill="942757" w:themeFill="accent3"/>
      </w:tcPr>
    </w:tblStylePr>
    <w:tblStylePr w:type="lastRow">
      <w:rPr>
        <w:b/>
        <w:bCs/>
      </w:rPr>
      <w:tblPr/>
      <w:tcPr>
        <w:tcBorders>
          <w:top w:val="single" w:sz="4" w:space="0" w:color="942757" w:themeColor="accent3"/>
          <w:left w:val="single" w:sz="4" w:space="0" w:color="942757" w:themeColor="accent3"/>
          <w:bottom w:val="single" w:sz="4" w:space="0" w:color="942757" w:themeColor="accent3"/>
          <w:right w:val="single" w:sz="4" w:space="0" w:color="942757" w:themeColor="accent3"/>
          <w:insideH w:val="single" w:sz="4" w:space="0" w:color="942757" w:themeColor="accent3"/>
          <w:insideV w:val="single" w:sz="4" w:space="0" w:color="942757" w:themeColor="accent3"/>
        </w:tcBorders>
        <w:shd w:val="clear" w:color="auto" w:fill="FFFFFF" w:themeFill="background1"/>
      </w:tcPr>
    </w:tblStylePr>
    <w:tblStylePr w:type="firstCol">
      <w:pPr>
        <w:wordWrap/>
        <w:spacing w:beforeLines="0" w:before="0" w:beforeAutospacing="0" w:afterLines="0" w:after="0" w:afterAutospacing="0" w:line="240" w:lineRule="auto"/>
        <w:ind w:leftChars="0" w:left="0" w:rightChars="0" w:right="0"/>
        <w:contextualSpacing w:val="0"/>
        <w:jc w:val="center"/>
      </w:pPr>
      <w:rPr>
        <w:rFonts w:asciiTheme="majorHAnsi" w:hAnsiTheme="majorHAnsi"/>
        <w:b/>
        <w:bCs/>
        <w:color w:val="6E6E6E" w:themeColor="background2"/>
        <w:spacing w:val="0"/>
        <w:sz w:val="24"/>
      </w:rPr>
      <w:tblPr/>
      <w:tcPr>
        <w:tcBorders>
          <w:top w:val="single" w:sz="4" w:space="0" w:color="942757" w:themeColor="accent3"/>
          <w:left w:val="single" w:sz="4" w:space="0" w:color="942757" w:themeColor="accent3"/>
          <w:bottom w:val="single" w:sz="4" w:space="0" w:color="942757" w:themeColor="accent3"/>
          <w:right w:val="single" w:sz="4" w:space="0" w:color="942757" w:themeColor="accent3"/>
          <w:insideH w:val="single" w:sz="4" w:space="0" w:color="942757" w:themeColor="accent3"/>
          <w:insideV w:val="single" w:sz="4" w:space="0" w:color="942757" w:themeColor="accent3"/>
        </w:tcBorders>
        <w:shd w:val="clear" w:color="auto" w:fill="FFFFFF" w:themeFill="background1"/>
      </w:tcPr>
    </w:tblStylePr>
    <w:tblStylePr w:type="lastCol">
      <w:rPr>
        <w:b/>
        <w:bCs/>
      </w:rPr>
      <w:tblPr/>
      <w:tcPr>
        <w:tcBorders>
          <w:top w:val="single" w:sz="4" w:space="0" w:color="942757" w:themeColor="accent3"/>
          <w:left w:val="single" w:sz="4" w:space="0" w:color="942757" w:themeColor="accent3"/>
          <w:bottom w:val="single" w:sz="4" w:space="0" w:color="942757" w:themeColor="accent3"/>
          <w:right w:val="single" w:sz="4" w:space="0" w:color="942757" w:themeColor="accent3"/>
          <w:insideH w:val="single" w:sz="4" w:space="0" w:color="942757" w:themeColor="accent3"/>
          <w:insideV w:val="single" w:sz="4" w:space="0" w:color="942757" w:themeColor="accent3"/>
        </w:tcBorders>
        <w:shd w:val="clear" w:color="auto" w:fill="FFFFFF" w:themeFill="background1"/>
      </w:tcPr>
    </w:tblStylePr>
    <w:tblStylePr w:type="band1Vert">
      <w:pPr>
        <w:jc w:val="center"/>
      </w:pPr>
      <w:tblPr/>
      <w:tcPr>
        <w:tcBorders>
          <w:top w:val="single" w:sz="4" w:space="0" w:color="942757" w:themeColor="accent3"/>
          <w:left w:val="single" w:sz="4" w:space="0" w:color="942757" w:themeColor="accent3"/>
          <w:bottom w:val="single" w:sz="4" w:space="0" w:color="942757" w:themeColor="accent3"/>
          <w:right w:val="single" w:sz="4" w:space="0" w:color="942757" w:themeColor="accent3"/>
          <w:insideH w:val="single" w:sz="4" w:space="0" w:color="942757" w:themeColor="accent3"/>
          <w:insideV w:val="single" w:sz="4" w:space="0" w:color="942757" w:themeColor="accent3"/>
        </w:tcBorders>
        <w:shd w:val="clear" w:color="auto" w:fill="auto"/>
      </w:tcPr>
    </w:tblStylePr>
    <w:tblStylePr w:type="band2Vert">
      <w:tblPr/>
      <w:tcPr>
        <w:tcBorders>
          <w:top w:val="single" w:sz="4" w:space="0" w:color="942757" w:themeColor="accent3"/>
          <w:left w:val="single" w:sz="4" w:space="0" w:color="942757" w:themeColor="accent3"/>
          <w:bottom w:val="single" w:sz="4" w:space="0" w:color="942757" w:themeColor="accent3"/>
          <w:right w:val="single" w:sz="4" w:space="0" w:color="942757" w:themeColor="accent3"/>
          <w:insideH w:val="single" w:sz="4" w:space="0" w:color="942757" w:themeColor="accent3"/>
          <w:insideV w:val="single" w:sz="4" w:space="0" w:color="942757" w:themeColor="accent3"/>
        </w:tcBorders>
        <w:shd w:val="clear" w:color="auto" w:fill="auto"/>
      </w:tcPr>
    </w:tblStylePr>
    <w:tblStylePr w:type="band1Horz">
      <w:tblPr/>
      <w:tcPr>
        <w:tcBorders>
          <w:top w:val="single" w:sz="4" w:space="0" w:color="942757" w:themeColor="accent3"/>
          <w:left w:val="single" w:sz="4" w:space="0" w:color="942757" w:themeColor="accent3"/>
          <w:bottom w:val="single" w:sz="4" w:space="0" w:color="942757" w:themeColor="accent3"/>
          <w:right w:val="single" w:sz="4" w:space="0" w:color="942757" w:themeColor="accent3"/>
          <w:insideH w:val="single" w:sz="4" w:space="0" w:color="942757" w:themeColor="accent3"/>
          <w:insideV w:val="single" w:sz="4" w:space="0" w:color="942757" w:themeColor="accent3"/>
        </w:tcBorders>
        <w:shd w:val="clear" w:color="auto" w:fill="auto"/>
      </w:tcPr>
    </w:tblStylePr>
    <w:tblStylePr w:type="band2Horz">
      <w:tblPr/>
      <w:tcPr>
        <w:tcBorders>
          <w:top w:val="single" w:sz="4" w:space="0" w:color="942757" w:themeColor="accent3"/>
          <w:left w:val="single" w:sz="4" w:space="0" w:color="942757" w:themeColor="accent3"/>
          <w:bottom w:val="single" w:sz="4" w:space="0" w:color="942757" w:themeColor="accent3"/>
          <w:right w:val="single" w:sz="4" w:space="0" w:color="942757" w:themeColor="accent3"/>
          <w:insideH w:val="single" w:sz="4" w:space="0" w:color="942757" w:themeColor="accent3"/>
          <w:insideV w:val="single" w:sz="4" w:space="0" w:color="942757" w:themeColor="accent3"/>
        </w:tcBorders>
        <w:shd w:val="clear" w:color="auto" w:fill="auto"/>
      </w:tcPr>
    </w:tblStylePr>
    <w:tblStylePr w:type="neCell">
      <w:tblPr/>
      <w:tcPr>
        <w:tcBorders>
          <w:left w:val="nil"/>
          <w:bottom w:val="nil"/>
        </w:tcBorders>
      </w:tcPr>
    </w:tblStylePr>
    <w:tblStylePr w:type="nwCell">
      <w:pPr>
        <w:wordWrap/>
        <w:spacing w:beforeLines="0" w:before="120" w:beforeAutospacing="0" w:afterLines="0" w:after="120" w:afterAutospacing="0" w:line="240" w:lineRule="auto"/>
        <w:jc w:val="center"/>
      </w:pPr>
      <w:rPr>
        <w:rFonts w:asciiTheme="majorHAnsi" w:hAnsiTheme="majorHAnsi"/>
        <w:b/>
        <w:color w:val="FFFFFF" w:themeColor="background1"/>
        <w:sz w:val="24"/>
      </w:rPr>
      <w:tblPr/>
      <w:tcPr>
        <w:tcBorders>
          <w:bottom w:val="nil"/>
          <w:right w:val="nil"/>
        </w:tcBorders>
        <w:shd w:val="clear" w:color="auto" w:fill="942757" w:themeFill="accent3"/>
      </w:tcPr>
    </w:tblStylePr>
    <w:tblStylePr w:type="seCell">
      <w:tblPr/>
      <w:tcPr>
        <w:tcBorders>
          <w:top w:val="single" w:sz="4" w:space="0" w:color="942757" w:themeColor="accent3"/>
          <w:left w:val="single" w:sz="4" w:space="0" w:color="942757" w:themeColor="accent3"/>
          <w:bottom w:val="single" w:sz="4" w:space="0" w:color="942757" w:themeColor="accent3"/>
          <w:right w:val="single" w:sz="4" w:space="0" w:color="942757" w:themeColor="accent3"/>
          <w:insideH w:val="single" w:sz="4" w:space="0" w:color="942757" w:themeColor="accent3"/>
          <w:insideV w:val="single" w:sz="4" w:space="0" w:color="942757" w:themeColor="accent3"/>
        </w:tcBorders>
        <w:shd w:val="clear" w:color="auto" w:fill="auto"/>
      </w:tcPr>
    </w:tblStylePr>
    <w:tblStylePr w:type="swCell">
      <w:tblPr/>
      <w:tcPr>
        <w:tcBorders>
          <w:top w:val="single" w:sz="4" w:space="0" w:color="942757" w:themeColor="accent3"/>
          <w:left w:val="single" w:sz="4" w:space="0" w:color="942757" w:themeColor="accent3"/>
          <w:bottom w:val="single" w:sz="4" w:space="0" w:color="942757" w:themeColor="accent3"/>
          <w:right w:val="single" w:sz="4" w:space="0" w:color="942757" w:themeColor="accent3"/>
          <w:insideH w:val="single" w:sz="4" w:space="0" w:color="942757" w:themeColor="accent3"/>
          <w:insideV w:val="single" w:sz="4" w:space="0" w:color="942757" w:themeColor="accent3"/>
        </w:tcBorders>
        <w:shd w:val="clear" w:color="auto" w:fill="auto"/>
      </w:tcPr>
    </w:tblStylePr>
  </w:style>
  <w:style w:type="table" w:customStyle="1" w:styleId="Watson52">
    <w:name w:val="Watson5.2"/>
    <w:basedOn w:val="Watson12"/>
    <w:uiPriority w:val="99"/>
    <w:rsid w:val="006E7CCE"/>
    <w:tblPr>
      <w:tblBorders>
        <w:top w:val="single" w:sz="4" w:space="0" w:color="83A354" w:themeColor="accent4"/>
        <w:left w:val="single" w:sz="4" w:space="0" w:color="83A354" w:themeColor="accent4"/>
        <w:bottom w:val="single" w:sz="4" w:space="0" w:color="83A354" w:themeColor="accent4"/>
        <w:right w:val="single" w:sz="4" w:space="0" w:color="83A354" w:themeColor="accent4"/>
        <w:insideH w:val="single" w:sz="4" w:space="0" w:color="83A354" w:themeColor="accent4"/>
        <w:insideV w:val="single" w:sz="4" w:space="0" w:color="83A354" w:themeColor="accent4"/>
      </w:tblBorders>
    </w:tblPr>
    <w:tcPr>
      <w:shd w:val="clear" w:color="auto" w:fill="auto"/>
    </w:tcPr>
    <w:tblStylePr w:type="firstRow">
      <w:pPr>
        <w:wordWrap/>
        <w:spacing w:beforeLines="0" w:before="120" w:beforeAutospacing="0" w:afterLines="0" w:after="120" w:afterAutospacing="0" w:line="240" w:lineRule="auto"/>
        <w:jc w:val="center"/>
      </w:pPr>
      <w:rPr>
        <w:rFonts w:asciiTheme="majorHAnsi" w:hAnsiTheme="majorHAnsi"/>
        <w:b/>
        <w:bCs/>
        <w:color w:val="212931" w:themeColor="text1" w:themeShade="80"/>
        <w:sz w:val="24"/>
        <w:szCs w:val="24"/>
      </w:rPr>
      <w:tblPr/>
      <w:tcPr>
        <w:tcBorders>
          <w:top w:val="single" w:sz="4" w:space="0" w:color="83A354" w:themeColor="accent4"/>
          <w:left w:val="single" w:sz="4" w:space="0" w:color="83A354" w:themeColor="accent4"/>
          <w:bottom w:val="single" w:sz="4" w:space="0" w:color="83A354" w:themeColor="accent4"/>
          <w:right w:val="single" w:sz="4" w:space="0" w:color="83A354" w:themeColor="accent4"/>
          <w:insideH w:val="nil"/>
          <w:insideV w:val="single" w:sz="4" w:space="0" w:color="FFFFFF" w:themeColor="background1"/>
          <w:tl2br w:val="nil"/>
          <w:tr2bl w:val="nil"/>
        </w:tcBorders>
        <w:shd w:val="clear" w:color="auto" w:fill="83A354" w:themeFill="accent4"/>
      </w:tcPr>
    </w:tblStylePr>
    <w:tblStylePr w:type="lastRow">
      <w:rPr>
        <w:b/>
        <w:bCs/>
      </w:rPr>
      <w:tblPr/>
      <w:tcPr>
        <w:tcBorders>
          <w:top w:val="single" w:sz="4" w:space="0" w:color="83A354" w:themeColor="accent4"/>
          <w:left w:val="single" w:sz="4" w:space="0" w:color="83A354" w:themeColor="accent4"/>
          <w:bottom w:val="single" w:sz="4" w:space="0" w:color="83A354" w:themeColor="accent4"/>
          <w:right w:val="single" w:sz="4" w:space="0" w:color="83A354" w:themeColor="accent4"/>
          <w:insideH w:val="single" w:sz="4" w:space="0" w:color="83A354" w:themeColor="accent4"/>
          <w:insideV w:val="single" w:sz="4" w:space="0" w:color="83A354" w:themeColor="accent4"/>
        </w:tcBorders>
        <w:shd w:val="clear" w:color="auto" w:fill="FFFFFF" w:themeFill="background1"/>
      </w:tcPr>
    </w:tblStylePr>
    <w:tblStylePr w:type="firstCol">
      <w:pPr>
        <w:wordWrap/>
        <w:spacing w:beforeLines="0" w:before="0" w:beforeAutospacing="0" w:afterLines="0" w:after="0" w:afterAutospacing="0" w:line="240" w:lineRule="auto"/>
        <w:ind w:leftChars="0" w:left="0" w:rightChars="0" w:right="0"/>
        <w:contextualSpacing w:val="0"/>
        <w:jc w:val="center"/>
      </w:pPr>
      <w:rPr>
        <w:rFonts w:asciiTheme="majorHAnsi" w:hAnsiTheme="majorHAnsi"/>
        <w:b/>
        <w:bCs/>
        <w:color w:val="6E6E6E" w:themeColor="background2"/>
        <w:spacing w:val="0"/>
        <w:sz w:val="24"/>
      </w:rPr>
      <w:tblPr/>
      <w:tcPr>
        <w:tcBorders>
          <w:top w:val="single" w:sz="4" w:space="0" w:color="83A354" w:themeColor="accent4"/>
          <w:left w:val="single" w:sz="4" w:space="0" w:color="83A354" w:themeColor="accent4"/>
          <w:bottom w:val="single" w:sz="4" w:space="0" w:color="83A354" w:themeColor="accent4"/>
          <w:right w:val="single" w:sz="4" w:space="0" w:color="83A354" w:themeColor="accent4"/>
          <w:insideH w:val="single" w:sz="4" w:space="0" w:color="83A354" w:themeColor="accent4"/>
          <w:insideV w:val="single" w:sz="4" w:space="0" w:color="83A354" w:themeColor="accent4"/>
        </w:tcBorders>
        <w:shd w:val="clear" w:color="auto" w:fill="FFFFFF" w:themeFill="background1"/>
      </w:tcPr>
    </w:tblStylePr>
    <w:tblStylePr w:type="lastCol">
      <w:rPr>
        <w:b/>
        <w:bCs/>
      </w:rPr>
      <w:tblPr/>
      <w:tcPr>
        <w:tcBorders>
          <w:top w:val="single" w:sz="4" w:space="0" w:color="83A354" w:themeColor="accent4"/>
          <w:left w:val="single" w:sz="4" w:space="0" w:color="83A354" w:themeColor="accent4"/>
          <w:bottom w:val="single" w:sz="4" w:space="0" w:color="83A354" w:themeColor="accent4"/>
          <w:right w:val="single" w:sz="4" w:space="0" w:color="83A354" w:themeColor="accent4"/>
          <w:insideH w:val="single" w:sz="4" w:space="0" w:color="83A354" w:themeColor="accent4"/>
          <w:insideV w:val="single" w:sz="4" w:space="0" w:color="83A354" w:themeColor="accent4"/>
        </w:tcBorders>
        <w:shd w:val="clear" w:color="auto" w:fill="FFFFFF" w:themeFill="background1"/>
      </w:tcPr>
    </w:tblStylePr>
    <w:tblStylePr w:type="band1Vert">
      <w:pPr>
        <w:jc w:val="center"/>
      </w:pPr>
      <w:tblPr/>
      <w:tcPr>
        <w:tcBorders>
          <w:top w:val="single" w:sz="4" w:space="0" w:color="83A354" w:themeColor="accent4"/>
          <w:left w:val="single" w:sz="4" w:space="0" w:color="83A354" w:themeColor="accent4"/>
          <w:bottom w:val="single" w:sz="4" w:space="0" w:color="83A354" w:themeColor="accent4"/>
          <w:right w:val="single" w:sz="4" w:space="0" w:color="83A354" w:themeColor="accent4"/>
          <w:insideH w:val="single" w:sz="4" w:space="0" w:color="83A354" w:themeColor="accent4"/>
          <w:insideV w:val="single" w:sz="4" w:space="0" w:color="83A354" w:themeColor="accent4"/>
        </w:tcBorders>
        <w:shd w:val="clear" w:color="auto" w:fill="auto"/>
      </w:tcPr>
    </w:tblStylePr>
    <w:tblStylePr w:type="band2Vert">
      <w:tblPr/>
      <w:tcPr>
        <w:tcBorders>
          <w:top w:val="single" w:sz="4" w:space="0" w:color="83A354" w:themeColor="accent4"/>
          <w:left w:val="single" w:sz="4" w:space="0" w:color="83A354" w:themeColor="accent4"/>
          <w:bottom w:val="single" w:sz="4" w:space="0" w:color="83A354" w:themeColor="accent4"/>
          <w:right w:val="single" w:sz="4" w:space="0" w:color="83A354" w:themeColor="accent4"/>
          <w:insideH w:val="single" w:sz="4" w:space="0" w:color="83A354" w:themeColor="accent4"/>
          <w:insideV w:val="single" w:sz="4" w:space="0" w:color="83A354" w:themeColor="accent4"/>
        </w:tcBorders>
        <w:shd w:val="clear" w:color="auto" w:fill="auto"/>
      </w:tcPr>
    </w:tblStylePr>
    <w:tblStylePr w:type="band1Horz">
      <w:tblPr/>
      <w:tcPr>
        <w:tcBorders>
          <w:top w:val="single" w:sz="4" w:space="0" w:color="83A354" w:themeColor="accent4"/>
          <w:left w:val="single" w:sz="4" w:space="0" w:color="83A354" w:themeColor="accent4"/>
          <w:bottom w:val="single" w:sz="4" w:space="0" w:color="83A354" w:themeColor="accent4"/>
          <w:right w:val="single" w:sz="4" w:space="0" w:color="83A354" w:themeColor="accent4"/>
          <w:insideH w:val="single" w:sz="4" w:space="0" w:color="83A354" w:themeColor="accent4"/>
          <w:insideV w:val="single" w:sz="4" w:space="0" w:color="83A354" w:themeColor="accent4"/>
        </w:tcBorders>
        <w:shd w:val="clear" w:color="auto" w:fill="auto"/>
      </w:tcPr>
    </w:tblStylePr>
    <w:tblStylePr w:type="band2Horz">
      <w:tblPr/>
      <w:tcPr>
        <w:tcBorders>
          <w:top w:val="single" w:sz="4" w:space="0" w:color="83A354" w:themeColor="accent4"/>
          <w:left w:val="single" w:sz="4" w:space="0" w:color="83A354" w:themeColor="accent4"/>
          <w:bottom w:val="single" w:sz="4" w:space="0" w:color="83A354" w:themeColor="accent4"/>
          <w:right w:val="single" w:sz="4" w:space="0" w:color="83A354" w:themeColor="accent4"/>
          <w:insideH w:val="single" w:sz="4" w:space="0" w:color="83A354" w:themeColor="accent4"/>
          <w:insideV w:val="single" w:sz="4" w:space="0" w:color="83A354" w:themeColor="accent4"/>
        </w:tcBorders>
        <w:shd w:val="clear" w:color="auto" w:fill="auto"/>
      </w:tcPr>
    </w:tblStylePr>
    <w:tblStylePr w:type="neCell">
      <w:tblPr/>
      <w:tcPr>
        <w:tcBorders>
          <w:left w:val="nil"/>
          <w:bottom w:val="nil"/>
        </w:tcBorders>
      </w:tcPr>
    </w:tblStylePr>
    <w:tblStylePr w:type="nwCell">
      <w:pPr>
        <w:wordWrap/>
        <w:spacing w:beforeLines="0" w:before="120" w:beforeAutospacing="0" w:afterLines="0" w:after="120" w:afterAutospacing="0" w:line="240" w:lineRule="auto"/>
        <w:jc w:val="center"/>
      </w:pPr>
      <w:rPr>
        <w:rFonts w:asciiTheme="majorHAnsi" w:hAnsiTheme="majorHAnsi"/>
        <w:b/>
        <w:color w:val="212931" w:themeColor="text1" w:themeShade="80"/>
        <w:sz w:val="24"/>
      </w:rPr>
      <w:tblPr/>
      <w:tcPr>
        <w:tcBorders>
          <w:bottom w:val="nil"/>
          <w:right w:val="nil"/>
        </w:tcBorders>
        <w:shd w:val="clear" w:color="auto" w:fill="83A354" w:themeFill="accent4"/>
      </w:tcPr>
    </w:tblStylePr>
    <w:tblStylePr w:type="seCell">
      <w:tblPr/>
      <w:tcPr>
        <w:tcBorders>
          <w:top w:val="single" w:sz="4" w:space="0" w:color="83A354" w:themeColor="accent4"/>
          <w:left w:val="single" w:sz="4" w:space="0" w:color="83A354" w:themeColor="accent4"/>
          <w:bottom w:val="single" w:sz="4" w:space="0" w:color="83A354" w:themeColor="accent4"/>
          <w:right w:val="single" w:sz="4" w:space="0" w:color="83A354" w:themeColor="accent4"/>
          <w:insideH w:val="single" w:sz="4" w:space="0" w:color="83A354" w:themeColor="accent4"/>
          <w:insideV w:val="single" w:sz="4" w:space="0" w:color="83A354" w:themeColor="accent4"/>
        </w:tcBorders>
        <w:shd w:val="clear" w:color="auto" w:fill="auto"/>
      </w:tcPr>
    </w:tblStylePr>
    <w:tblStylePr w:type="swCell">
      <w:tblPr/>
      <w:tcPr>
        <w:tcBorders>
          <w:top w:val="single" w:sz="4" w:space="0" w:color="83A354" w:themeColor="accent4"/>
          <w:left w:val="single" w:sz="4" w:space="0" w:color="83A354" w:themeColor="accent4"/>
          <w:bottom w:val="single" w:sz="4" w:space="0" w:color="83A354" w:themeColor="accent4"/>
          <w:right w:val="single" w:sz="4" w:space="0" w:color="83A354" w:themeColor="accent4"/>
          <w:insideH w:val="single" w:sz="4" w:space="0" w:color="83A354" w:themeColor="accent4"/>
          <w:insideV w:val="single" w:sz="4" w:space="0" w:color="83A354" w:themeColor="accent4"/>
        </w:tcBorders>
        <w:shd w:val="clear" w:color="auto" w:fill="auto"/>
      </w:tcPr>
    </w:tblStylePr>
  </w:style>
  <w:style w:type="table" w:customStyle="1" w:styleId="Watson62">
    <w:name w:val="Watson6.2"/>
    <w:basedOn w:val="Watson12"/>
    <w:uiPriority w:val="99"/>
    <w:rsid w:val="005C60D9"/>
    <w:tblPr>
      <w:tblBorders>
        <w:top w:val="single" w:sz="4" w:space="0" w:color="434F7F" w:themeColor="accent5"/>
        <w:left w:val="single" w:sz="4" w:space="0" w:color="434F7F" w:themeColor="accent5"/>
        <w:bottom w:val="single" w:sz="4" w:space="0" w:color="434F7F" w:themeColor="accent5"/>
        <w:right w:val="single" w:sz="4" w:space="0" w:color="434F7F" w:themeColor="accent5"/>
        <w:insideH w:val="single" w:sz="4" w:space="0" w:color="434F7F" w:themeColor="accent5"/>
        <w:insideV w:val="single" w:sz="4" w:space="0" w:color="434F7F" w:themeColor="accent5"/>
      </w:tblBorders>
    </w:tblPr>
    <w:tcPr>
      <w:shd w:val="clear" w:color="auto" w:fill="auto"/>
    </w:tcPr>
    <w:tblStylePr w:type="firstRow">
      <w:pPr>
        <w:wordWrap/>
        <w:spacing w:beforeLines="0" w:before="120" w:beforeAutospacing="0" w:afterLines="0" w:after="120" w:afterAutospacing="0" w:line="240" w:lineRule="auto"/>
        <w:jc w:val="center"/>
      </w:pPr>
      <w:rPr>
        <w:rFonts w:asciiTheme="majorHAnsi" w:hAnsiTheme="majorHAnsi"/>
        <w:b/>
        <w:bCs/>
        <w:color w:val="FFFFFF" w:themeColor="background1"/>
        <w:sz w:val="24"/>
        <w:szCs w:val="24"/>
      </w:rPr>
      <w:tblPr/>
      <w:tcPr>
        <w:tcBorders>
          <w:top w:val="single" w:sz="4" w:space="0" w:color="434F7F" w:themeColor="accent5"/>
          <w:left w:val="single" w:sz="4" w:space="0" w:color="434F7F" w:themeColor="accent5"/>
          <w:bottom w:val="single" w:sz="4" w:space="0" w:color="434F7F" w:themeColor="accent5"/>
          <w:right w:val="single" w:sz="4" w:space="0" w:color="434F7F" w:themeColor="accent5"/>
          <w:insideH w:val="nil"/>
          <w:insideV w:val="single" w:sz="4" w:space="0" w:color="FFFFFF" w:themeColor="background1"/>
          <w:tl2br w:val="nil"/>
          <w:tr2bl w:val="nil"/>
        </w:tcBorders>
        <w:shd w:val="clear" w:color="auto" w:fill="434F7F" w:themeFill="accent5"/>
      </w:tcPr>
    </w:tblStylePr>
    <w:tblStylePr w:type="lastRow">
      <w:rPr>
        <w:b/>
        <w:bCs/>
      </w:rPr>
      <w:tblPr/>
      <w:tcPr>
        <w:tcBorders>
          <w:top w:val="single" w:sz="4" w:space="0" w:color="434F7F" w:themeColor="accent5"/>
          <w:left w:val="single" w:sz="4" w:space="0" w:color="434F7F" w:themeColor="accent5"/>
          <w:bottom w:val="single" w:sz="4" w:space="0" w:color="434F7F" w:themeColor="accent5"/>
          <w:right w:val="single" w:sz="4" w:space="0" w:color="434F7F" w:themeColor="accent5"/>
          <w:insideH w:val="single" w:sz="4" w:space="0" w:color="434F7F" w:themeColor="accent5"/>
          <w:insideV w:val="single" w:sz="4" w:space="0" w:color="434F7F" w:themeColor="accent5"/>
        </w:tcBorders>
        <w:shd w:val="clear" w:color="auto" w:fill="FFFFFF" w:themeFill="background1"/>
      </w:tcPr>
    </w:tblStylePr>
    <w:tblStylePr w:type="firstCol">
      <w:pPr>
        <w:wordWrap/>
        <w:spacing w:beforeLines="0" w:before="0" w:beforeAutospacing="0" w:afterLines="0" w:after="0" w:afterAutospacing="0" w:line="240" w:lineRule="auto"/>
        <w:ind w:leftChars="0" w:left="0" w:rightChars="0" w:right="0"/>
        <w:contextualSpacing w:val="0"/>
        <w:jc w:val="center"/>
      </w:pPr>
      <w:rPr>
        <w:rFonts w:asciiTheme="majorHAnsi" w:hAnsiTheme="majorHAnsi"/>
        <w:b/>
        <w:bCs/>
        <w:color w:val="6E6E6E" w:themeColor="background2"/>
        <w:spacing w:val="0"/>
        <w:sz w:val="24"/>
      </w:rPr>
      <w:tblPr/>
      <w:tcPr>
        <w:tcBorders>
          <w:top w:val="single" w:sz="4" w:space="0" w:color="434F7F" w:themeColor="accent5"/>
          <w:left w:val="single" w:sz="4" w:space="0" w:color="434F7F" w:themeColor="accent5"/>
          <w:bottom w:val="single" w:sz="4" w:space="0" w:color="434F7F" w:themeColor="accent5"/>
          <w:right w:val="single" w:sz="4" w:space="0" w:color="434F7F" w:themeColor="accent5"/>
          <w:insideH w:val="single" w:sz="4" w:space="0" w:color="434F7F" w:themeColor="accent5"/>
          <w:insideV w:val="single" w:sz="4" w:space="0" w:color="434F7F" w:themeColor="accent5"/>
        </w:tcBorders>
        <w:shd w:val="clear" w:color="auto" w:fill="FFFFFF" w:themeFill="background1"/>
      </w:tcPr>
    </w:tblStylePr>
    <w:tblStylePr w:type="lastCol">
      <w:rPr>
        <w:b/>
        <w:bCs/>
      </w:rPr>
      <w:tblPr/>
      <w:tcPr>
        <w:tcBorders>
          <w:top w:val="single" w:sz="4" w:space="0" w:color="434F7F" w:themeColor="accent5"/>
          <w:left w:val="single" w:sz="4" w:space="0" w:color="434F7F" w:themeColor="accent5"/>
          <w:bottom w:val="single" w:sz="4" w:space="0" w:color="434F7F" w:themeColor="accent5"/>
          <w:right w:val="single" w:sz="4" w:space="0" w:color="434F7F" w:themeColor="accent5"/>
          <w:insideH w:val="single" w:sz="4" w:space="0" w:color="434F7F" w:themeColor="accent5"/>
          <w:insideV w:val="single" w:sz="4" w:space="0" w:color="434F7F" w:themeColor="accent5"/>
        </w:tcBorders>
        <w:shd w:val="clear" w:color="auto" w:fill="FFFFFF" w:themeFill="background1"/>
      </w:tcPr>
    </w:tblStylePr>
    <w:tblStylePr w:type="band1Vert">
      <w:pPr>
        <w:jc w:val="center"/>
      </w:pPr>
      <w:tblPr/>
      <w:tcPr>
        <w:tcBorders>
          <w:top w:val="single" w:sz="4" w:space="0" w:color="434F7F" w:themeColor="accent5"/>
          <w:left w:val="single" w:sz="4" w:space="0" w:color="434F7F" w:themeColor="accent5"/>
          <w:bottom w:val="single" w:sz="4" w:space="0" w:color="434F7F" w:themeColor="accent5"/>
          <w:right w:val="single" w:sz="4" w:space="0" w:color="434F7F" w:themeColor="accent5"/>
          <w:insideH w:val="single" w:sz="4" w:space="0" w:color="434F7F" w:themeColor="accent5"/>
          <w:insideV w:val="single" w:sz="4" w:space="0" w:color="434F7F" w:themeColor="accent5"/>
        </w:tcBorders>
        <w:shd w:val="clear" w:color="auto" w:fill="auto"/>
      </w:tcPr>
    </w:tblStylePr>
    <w:tblStylePr w:type="band2Vert">
      <w:tblPr/>
      <w:tcPr>
        <w:tcBorders>
          <w:top w:val="single" w:sz="4" w:space="0" w:color="434F7F" w:themeColor="accent5"/>
          <w:left w:val="single" w:sz="4" w:space="0" w:color="434F7F" w:themeColor="accent5"/>
          <w:bottom w:val="single" w:sz="4" w:space="0" w:color="434F7F" w:themeColor="accent5"/>
          <w:right w:val="single" w:sz="4" w:space="0" w:color="434F7F" w:themeColor="accent5"/>
          <w:insideH w:val="single" w:sz="4" w:space="0" w:color="434F7F" w:themeColor="accent5"/>
          <w:insideV w:val="single" w:sz="4" w:space="0" w:color="434F7F" w:themeColor="accent5"/>
        </w:tcBorders>
        <w:shd w:val="clear" w:color="auto" w:fill="auto"/>
      </w:tcPr>
    </w:tblStylePr>
    <w:tblStylePr w:type="band1Horz">
      <w:tblPr/>
      <w:tcPr>
        <w:tcBorders>
          <w:top w:val="single" w:sz="4" w:space="0" w:color="434F7F" w:themeColor="accent5"/>
          <w:left w:val="single" w:sz="4" w:space="0" w:color="434F7F" w:themeColor="accent5"/>
          <w:bottom w:val="single" w:sz="4" w:space="0" w:color="434F7F" w:themeColor="accent5"/>
          <w:right w:val="single" w:sz="4" w:space="0" w:color="434F7F" w:themeColor="accent5"/>
          <w:insideH w:val="single" w:sz="4" w:space="0" w:color="434F7F" w:themeColor="accent5"/>
          <w:insideV w:val="single" w:sz="4" w:space="0" w:color="434F7F" w:themeColor="accent5"/>
        </w:tcBorders>
        <w:shd w:val="clear" w:color="auto" w:fill="auto"/>
      </w:tcPr>
    </w:tblStylePr>
    <w:tblStylePr w:type="band2Horz">
      <w:tblPr/>
      <w:tcPr>
        <w:tcBorders>
          <w:top w:val="single" w:sz="4" w:space="0" w:color="434F7F" w:themeColor="accent5"/>
          <w:left w:val="single" w:sz="4" w:space="0" w:color="434F7F" w:themeColor="accent5"/>
          <w:bottom w:val="single" w:sz="4" w:space="0" w:color="434F7F" w:themeColor="accent5"/>
          <w:right w:val="single" w:sz="4" w:space="0" w:color="434F7F" w:themeColor="accent5"/>
          <w:insideH w:val="single" w:sz="4" w:space="0" w:color="434F7F" w:themeColor="accent5"/>
          <w:insideV w:val="single" w:sz="4" w:space="0" w:color="434F7F" w:themeColor="accent5"/>
        </w:tcBorders>
        <w:shd w:val="clear" w:color="auto" w:fill="auto"/>
      </w:tcPr>
    </w:tblStylePr>
    <w:tblStylePr w:type="neCell">
      <w:tblPr/>
      <w:tcPr>
        <w:tcBorders>
          <w:left w:val="nil"/>
          <w:bottom w:val="nil"/>
        </w:tcBorders>
      </w:tcPr>
    </w:tblStylePr>
    <w:tblStylePr w:type="nwCell">
      <w:pPr>
        <w:wordWrap/>
        <w:spacing w:beforeLines="0" w:before="120" w:beforeAutospacing="0" w:afterLines="0" w:after="120" w:afterAutospacing="0" w:line="240" w:lineRule="auto"/>
        <w:jc w:val="center"/>
      </w:pPr>
      <w:rPr>
        <w:rFonts w:asciiTheme="majorHAnsi" w:hAnsiTheme="majorHAnsi"/>
        <w:b/>
        <w:color w:val="FFFFFF" w:themeColor="background1"/>
        <w:sz w:val="24"/>
      </w:rPr>
      <w:tblPr/>
      <w:tcPr>
        <w:tcBorders>
          <w:bottom w:val="nil"/>
          <w:right w:val="nil"/>
        </w:tcBorders>
        <w:shd w:val="clear" w:color="auto" w:fill="434F7F" w:themeFill="accent5"/>
      </w:tcPr>
    </w:tblStylePr>
    <w:tblStylePr w:type="seCell">
      <w:tblPr/>
      <w:tcPr>
        <w:tcBorders>
          <w:top w:val="single" w:sz="4" w:space="0" w:color="434F7F" w:themeColor="accent5"/>
          <w:left w:val="single" w:sz="4" w:space="0" w:color="434F7F" w:themeColor="accent5"/>
          <w:bottom w:val="single" w:sz="4" w:space="0" w:color="434F7F" w:themeColor="accent5"/>
          <w:right w:val="single" w:sz="4" w:space="0" w:color="434F7F" w:themeColor="accent5"/>
          <w:insideH w:val="single" w:sz="4" w:space="0" w:color="434F7F" w:themeColor="accent5"/>
          <w:insideV w:val="single" w:sz="4" w:space="0" w:color="434F7F" w:themeColor="accent5"/>
        </w:tcBorders>
        <w:shd w:val="clear" w:color="auto" w:fill="auto"/>
      </w:tcPr>
    </w:tblStylePr>
    <w:tblStylePr w:type="swCell">
      <w:tblPr/>
      <w:tcPr>
        <w:tcBorders>
          <w:top w:val="single" w:sz="4" w:space="0" w:color="434F7F" w:themeColor="accent5"/>
          <w:left w:val="single" w:sz="4" w:space="0" w:color="434F7F" w:themeColor="accent5"/>
          <w:bottom w:val="single" w:sz="4" w:space="0" w:color="434F7F" w:themeColor="accent5"/>
          <w:right w:val="single" w:sz="4" w:space="0" w:color="434F7F" w:themeColor="accent5"/>
          <w:insideH w:val="single" w:sz="4" w:space="0" w:color="434F7F" w:themeColor="accent5"/>
          <w:insideV w:val="single" w:sz="4" w:space="0" w:color="434F7F" w:themeColor="accent5"/>
        </w:tcBorders>
        <w:shd w:val="clear" w:color="auto" w:fill="auto"/>
      </w:tcPr>
    </w:tblStylePr>
  </w:style>
  <w:style w:type="table" w:customStyle="1" w:styleId="Watson72">
    <w:name w:val="Watson7.2"/>
    <w:basedOn w:val="Watson12"/>
    <w:uiPriority w:val="99"/>
    <w:rsid w:val="005C60D9"/>
    <w:tblPr>
      <w:tblBorders>
        <w:top w:val="single" w:sz="4" w:space="0" w:color="2E826B" w:themeColor="accent6"/>
        <w:left w:val="single" w:sz="4" w:space="0" w:color="2E826B" w:themeColor="accent6"/>
        <w:bottom w:val="single" w:sz="4" w:space="0" w:color="2E826B" w:themeColor="accent6"/>
        <w:right w:val="single" w:sz="4" w:space="0" w:color="2E826B" w:themeColor="accent6"/>
        <w:insideH w:val="single" w:sz="4" w:space="0" w:color="2E826B" w:themeColor="accent6"/>
        <w:insideV w:val="single" w:sz="4" w:space="0" w:color="2E826B" w:themeColor="accent6"/>
      </w:tblBorders>
    </w:tblPr>
    <w:tcPr>
      <w:shd w:val="clear" w:color="auto" w:fill="auto"/>
    </w:tcPr>
    <w:tblStylePr w:type="firstRow">
      <w:pPr>
        <w:wordWrap/>
        <w:spacing w:beforeLines="0" w:before="120" w:beforeAutospacing="0" w:afterLines="0" w:after="120" w:afterAutospacing="0" w:line="240" w:lineRule="auto"/>
        <w:jc w:val="center"/>
      </w:pPr>
      <w:rPr>
        <w:rFonts w:asciiTheme="majorHAnsi" w:hAnsiTheme="majorHAnsi"/>
        <w:b/>
        <w:bCs/>
        <w:color w:val="FFFFFF" w:themeColor="background1"/>
        <w:sz w:val="24"/>
        <w:szCs w:val="24"/>
      </w:rPr>
      <w:tblPr/>
      <w:tcPr>
        <w:tcBorders>
          <w:top w:val="single" w:sz="4" w:space="0" w:color="2E826B" w:themeColor="accent6"/>
          <w:left w:val="single" w:sz="4" w:space="0" w:color="2E826B" w:themeColor="accent6"/>
          <w:bottom w:val="single" w:sz="4" w:space="0" w:color="2E826B" w:themeColor="accent6"/>
          <w:right w:val="single" w:sz="4" w:space="0" w:color="2E826B" w:themeColor="accent6"/>
          <w:insideH w:val="nil"/>
          <w:insideV w:val="single" w:sz="4" w:space="0" w:color="FFFFFF" w:themeColor="background1"/>
          <w:tl2br w:val="nil"/>
          <w:tr2bl w:val="nil"/>
        </w:tcBorders>
        <w:shd w:val="clear" w:color="auto" w:fill="2E826B" w:themeFill="accent6"/>
      </w:tcPr>
    </w:tblStylePr>
    <w:tblStylePr w:type="lastRow">
      <w:rPr>
        <w:b/>
        <w:bCs/>
      </w:rPr>
      <w:tblPr/>
      <w:tcPr>
        <w:tcBorders>
          <w:top w:val="single" w:sz="4" w:space="0" w:color="2E826B" w:themeColor="accent6"/>
          <w:left w:val="single" w:sz="4" w:space="0" w:color="2E826B" w:themeColor="accent6"/>
          <w:bottom w:val="single" w:sz="4" w:space="0" w:color="2E826B" w:themeColor="accent6"/>
          <w:right w:val="single" w:sz="4" w:space="0" w:color="2E826B" w:themeColor="accent6"/>
          <w:insideH w:val="single" w:sz="4" w:space="0" w:color="2E826B" w:themeColor="accent6"/>
          <w:insideV w:val="single" w:sz="4" w:space="0" w:color="2E826B" w:themeColor="accent6"/>
        </w:tcBorders>
        <w:shd w:val="clear" w:color="auto" w:fill="FFFFFF" w:themeFill="background1"/>
      </w:tcPr>
    </w:tblStylePr>
    <w:tblStylePr w:type="firstCol">
      <w:pPr>
        <w:wordWrap/>
        <w:spacing w:beforeLines="0" w:before="0" w:beforeAutospacing="0" w:afterLines="0" w:after="0" w:afterAutospacing="0" w:line="240" w:lineRule="auto"/>
        <w:ind w:leftChars="0" w:left="0" w:rightChars="0" w:right="0"/>
        <w:contextualSpacing w:val="0"/>
        <w:jc w:val="center"/>
      </w:pPr>
      <w:rPr>
        <w:rFonts w:asciiTheme="majorHAnsi" w:hAnsiTheme="majorHAnsi"/>
        <w:b/>
        <w:bCs/>
        <w:color w:val="6E6E6E" w:themeColor="background2"/>
        <w:spacing w:val="0"/>
        <w:sz w:val="24"/>
      </w:rPr>
      <w:tblPr/>
      <w:tcPr>
        <w:tcBorders>
          <w:top w:val="single" w:sz="4" w:space="0" w:color="2E826B" w:themeColor="accent6"/>
          <w:left w:val="single" w:sz="4" w:space="0" w:color="2E826B" w:themeColor="accent6"/>
          <w:bottom w:val="single" w:sz="4" w:space="0" w:color="2E826B" w:themeColor="accent6"/>
          <w:right w:val="single" w:sz="4" w:space="0" w:color="2E826B" w:themeColor="accent6"/>
          <w:insideH w:val="single" w:sz="4" w:space="0" w:color="2E826B" w:themeColor="accent6"/>
          <w:insideV w:val="single" w:sz="4" w:space="0" w:color="2E826B" w:themeColor="accent6"/>
        </w:tcBorders>
        <w:shd w:val="clear" w:color="auto" w:fill="FFFFFF" w:themeFill="background1"/>
      </w:tcPr>
    </w:tblStylePr>
    <w:tblStylePr w:type="lastCol">
      <w:rPr>
        <w:b/>
        <w:bCs/>
      </w:rPr>
      <w:tblPr/>
      <w:tcPr>
        <w:tcBorders>
          <w:top w:val="single" w:sz="4" w:space="0" w:color="2E826B" w:themeColor="accent6"/>
          <w:left w:val="single" w:sz="4" w:space="0" w:color="2E826B" w:themeColor="accent6"/>
          <w:bottom w:val="single" w:sz="4" w:space="0" w:color="2E826B" w:themeColor="accent6"/>
          <w:right w:val="single" w:sz="4" w:space="0" w:color="2E826B" w:themeColor="accent6"/>
          <w:insideH w:val="single" w:sz="4" w:space="0" w:color="2E826B" w:themeColor="accent6"/>
          <w:insideV w:val="single" w:sz="4" w:space="0" w:color="2E826B" w:themeColor="accent6"/>
        </w:tcBorders>
        <w:shd w:val="clear" w:color="auto" w:fill="FFFFFF" w:themeFill="background1"/>
      </w:tcPr>
    </w:tblStylePr>
    <w:tblStylePr w:type="band1Vert">
      <w:pPr>
        <w:jc w:val="center"/>
      </w:pPr>
      <w:tblPr/>
      <w:tcPr>
        <w:tcBorders>
          <w:top w:val="single" w:sz="4" w:space="0" w:color="2E826B" w:themeColor="accent6"/>
          <w:left w:val="single" w:sz="4" w:space="0" w:color="2E826B" w:themeColor="accent6"/>
          <w:bottom w:val="single" w:sz="4" w:space="0" w:color="2E826B" w:themeColor="accent6"/>
          <w:right w:val="single" w:sz="4" w:space="0" w:color="2E826B" w:themeColor="accent6"/>
          <w:insideH w:val="single" w:sz="4" w:space="0" w:color="2E826B" w:themeColor="accent6"/>
          <w:insideV w:val="single" w:sz="4" w:space="0" w:color="2E826B" w:themeColor="accent6"/>
        </w:tcBorders>
        <w:shd w:val="clear" w:color="auto" w:fill="auto"/>
      </w:tcPr>
    </w:tblStylePr>
    <w:tblStylePr w:type="band2Vert">
      <w:tblPr/>
      <w:tcPr>
        <w:tcBorders>
          <w:top w:val="single" w:sz="4" w:space="0" w:color="2E826B" w:themeColor="accent6"/>
          <w:left w:val="single" w:sz="4" w:space="0" w:color="2E826B" w:themeColor="accent6"/>
          <w:bottom w:val="single" w:sz="4" w:space="0" w:color="2E826B" w:themeColor="accent6"/>
          <w:right w:val="single" w:sz="4" w:space="0" w:color="2E826B" w:themeColor="accent6"/>
          <w:insideH w:val="single" w:sz="4" w:space="0" w:color="2E826B" w:themeColor="accent6"/>
          <w:insideV w:val="single" w:sz="4" w:space="0" w:color="2E826B" w:themeColor="accent6"/>
        </w:tcBorders>
        <w:shd w:val="clear" w:color="auto" w:fill="auto"/>
      </w:tcPr>
    </w:tblStylePr>
    <w:tblStylePr w:type="band1Horz">
      <w:tblPr/>
      <w:tcPr>
        <w:tcBorders>
          <w:top w:val="single" w:sz="4" w:space="0" w:color="2E826B" w:themeColor="accent6"/>
          <w:left w:val="single" w:sz="4" w:space="0" w:color="2E826B" w:themeColor="accent6"/>
          <w:bottom w:val="single" w:sz="4" w:space="0" w:color="2E826B" w:themeColor="accent6"/>
          <w:right w:val="single" w:sz="4" w:space="0" w:color="2E826B" w:themeColor="accent6"/>
          <w:insideH w:val="single" w:sz="4" w:space="0" w:color="2E826B" w:themeColor="accent6"/>
          <w:insideV w:val="single" w:sz="4" w:space="0" w:color="2E826B" w:themeColor="accent6"/>
        </w:tcBorders>
        <w:shd w:val="clear" w:color="auto" w:fill="auto"/>
      </w:tcPr>
    </w:tblStylePr>
    <w:tblStylePr w:type="band2Horz">
      <w:tblPr/>
      <w:tcPr>
        <w:tcBorders>
          <w:top w:val="single" w:sz="4" w:space="0" w:color="2E826B" w:themeColor="accent6"/>
          <w:left w:val="single" w:sz="4" w:space="0" w:color="2E826B" w:themeColor="accent6"/>
          <w:bottom w:val="single" w:sz="4" w:space="0" w:color="2E826B" w:themeColor="accent6"/>
          <w:right w:val="single" w:sz="4" w:space="0" w:color="2E826B" w:themeColor="accent6"/>
          <w:insideH w:val="single" w:sz="4" w:space="0" w:color="2E826B" w:themeColor="accent6"/>
          <w:insideV w:val="single" w:sz="4" w:space="0" w:color="2E826B" w:themeColor="accent6"/>
        </w:tcBorders>
        <w:shd w:val="clear" w:color="auto" w:fill="auto"/>
      </w:tcPr>
    </w:tblStylePr>
    <w:tblStylePr w:type="neCell">
      <w:tblPr/>
      <w:tcPr>
        <w:tcBorders>
          <w:left w:val="nil"/>
          <w:bottom w:val="nil"/>
        </w:tcBorders>
      </w:tcPr>
    </w:tblStylePr>
    <w:tblStylePr w:type="nwCell">
      <w:pPr>
        <w:wordWrap/>
        <w:spacing w:beforeLines="0" w:before="120" w:beforeAutospacing="0" w:afterLines="0" w:after="120" w:afterAutospacing="0" w:line="240" w:lineRule="auto"/>
        <w:jc w:val="center"/>
      </w:pPr>
      <w:rPr>
        <w:rFonts w:asciiTheme="majorHAnsi" w:hAnsiTheme="majorHAnsi"/>
        <w:b/>
        <w:color w:val="FFFFFF" w:themeColor="background1"/>
        <w:sz w:val="24"/>
      </w:rPr>
      <w:tblPr/>
      <w:tcPr>
        <w:tcBorders>
          <w:bottom w:val="nil"/>
          <w:right w:val="nil"/>
        </w:tcBorders>
        <w:shd w:val="clear" w:color="auto" w:fill="2E826B" w:themeFill="accent6"/>
      </w:tcPr>
    </w:tblStylePr>
    <w:tblStylePr w:type="seCell">
      <w:tblPr/>
      <w:tcPr>
        <w:tcBorders>
          <w:top w:val="single" w:sz="4" w:space="0" w:color="2E826B" w:themeColor="accent6"/>
          <w:left w:val="single" w:sz="4" w:space="0" w:color="2E826B" w:themeColor="accent6"/>
          <w:bottom w:val="single" w:sz="4" w:space="0" w:color="2E826B" w:themeColor="accent6"/>
          <w:right w:val="single" w:sz="4" w:space="0" w:color="2E826B" w:themeColor="accent6"/>
          <w:insideH w:val="single" w:sz="4" w:space="0" w:color="2E826B" w:themeColor="accent6"/>
          <w:insideV w:val="single" w:sz="4" w:space="0" w:color="2E826B" w:themeColor="accent6"/>
        </w:tcBorders>
        <w:shd w:val="clear" w:color="auto" w:fill="auto"/>
      </w:tcPr>
    </w:tblStylePr>
    <w:tblStylePr w:type="swCell">
      <w:tblPr/>
      <w:tcPr>
        <w:tcBorders>
          <w:top w:val="single" w:sz="4" w:space="0" w:color="2E826B" w:themeColor="accent6"/>
          <w:left w:val="single" w:sz="4" w:space="0" w:color="2E826B" w:themeColor="accent6"/>
          <w:bottom w:val="single" w:sz="4" w:space="0" w:color="2E826B" w:themeColor="accent6"/>
          <w:right w:val="single" w:sz="4" w:space="0" w:color="2E826B" w:themeColor="accent6"/>
          <w:insideH w:val="single" w:sz="4" w:space="0" w:color="2E826B" w:themeColor="accent6"/>
          <w:insideV w:val="single" w:sz="4" w:space="0" w:color="2E826B" w:themeColor="accent6"/>
        </w:tcBorders>
        <w:shd w:val="clear" w:color="auto" w:fill="auto"/>
      </w:tcPr>
    </w:tblStylePr>
  </w:style>
  <w:style w:type="paragraph" w:customStyle="1" w:styleId="IntroLetter-ss">
    <w:name w:val="Intro Letter - ss"/>
    <w:aliases w:val="no paragraph spacing"/>
    <w:basedOn w:val="BodyTextss"/>
    <w:semiHidden/>
    <w:qFormat/>
    <w:rsid w:val="006B5C96"/>
    <w:pPr>
      <w:spacing w:after="0"/>
    </w:pPr>
  </w:style>
  <w:style w:type="paragraph" w:styleId="TOC4">
    <w:name w:val="toc 4"/>
    <w:basedOn w:val="Normal"/>
    <w:next w:val="Normal"/>
    <w:autoRedefine/>
    <w:uiPriority w:val="39"/>
    <w:unhideWhenUsed/>
    <w:rsid w:val="00D779FC"/>
    <w:pPr>
      <w:ind w:left="2160" w:right="720" w:hanging="720"/>
    </w:pPr>
    <w:rPr>
      <w:rFonts w:asciiTheme="minorHAnsi" w:hAnsiTheme="minorHAnsi" w:cstheme="minorHAnsi"/>
      <w:szCs w:val="20"/>
    </w:rPr>
  </w:style>
  <w:style w:type="paragraph" w:styleId="TOC5">
    <w:name w:val="toc 5"/>
    <w:basedOn w:val="Normal"/>
    <w:next w:val="Normal"/>
    <w:autoRedefine/>
    <w:uiPriority w:val="39"/>
    <w:unhideWhenUsed/>
    <w:rsid w:val="00CF4CCB"/>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CF4CCB"/>
    <w:pPr>
      <w:ind w:left="1200"/>
    </w:pPr>
    <w:rPr>
      <w:rFonts w:asciiTheme="minorHAnsi" w:hAnsiTheme="minorHAnsi" w:cstheme="minorHAnsi"/>
      <w:sz w:val="20"/>
      <w:szCs w:val="20"/>
    </w:rPr>
  </w:style>
  <w:style w:type="paragraph" w:customStyle="1" w:styleId="APPdivider">
    <w:name w:val="APP divider"/>
    <w:basedOn w:val="Normal"/>
    <w:link w:val="APPdividerChar"/>
    <w:uiPriority w:val="4"/>
    <w:qFormat/>
    <w:rsid w:val="00DC5440"/>
    <w:pPr>
      <w:keepLines/>
      <w:tabs>
        <w:tab w:val="left" w:pos="6019"/>
      </w:tabs>
      <w:spacing w:before="960"/>
      <w:contextualSpacing/>
      <w:outlineLvl w:val="0"/>
    </w:pPr>
    <w:rPr>
      <w:sz w:val="96"/>
      <w:szCs w:val="96"/>
    </w:rPr>
  </w:style>
  <w:style w:type="paragraph" w:styleId="TOC7">
    <w:name w:val="toc 7"/>
    <w:basedOn w:val="Normal"/>
    <w:next w:val="Normal"/>
    <w:autoRedefine/>
    <w:uiPriority w:val="39"/>
    <w:unhideWhenUsed/>
    <w:rsid w:val="00090DC5"/>
    <w:pPr>
      <w:ind w:left="1440"/>
    </w:pPr>
    <w:rPr>
      <w:rFonts w:asciiTheme="minorHAnsi" w:hAnsiTheme="minorHAnsi" w:cstheme="minorHAnsi"/>
      <w:sz w:val="20"/>
      <w:szCs w:val="20"/>
    </w:rPr>
  </w:style>
  <w:style w:type="character" w:customStyle="1" w:styleId="APPdividerChar">
    <w:name w:val="APP divider Char"/>
    <w:basedOn w:val="DefaultParagraphFont"/>
    <w:link w:val="APPdivider"/>
    <w:uiPriority w:val="4"/>
    <w:rsid w:val="00DC5440"/>
    <w:rPr>
      <w:color w:val="000000"/>
      <w:sz w:val="96"/>
      <w:szCs w:val="96"/>
      <w:lang w:val="en-CA"/>
    </w:rPr>
  </w:style>
  <w:style w:type="paragraph" w:customStyle="1" w:styleId="CoverLogo">
    <w:name w:val="Cover Logo"/>
    <w:basedOn w:val="Normal"/>
    <w:uiPriority w:val="4"/>
    <w:qFormat/>
    <w:rsid w:val="00294E19"/>
    <w:pPr>
      <w:spacing w:before="480"/>
      <w:jc w:val="right"/>
    </w:pPr>
  </w:style>
  <w:style w:type="paragraph" w:styleId="Title">
    <w:name w:val="Title"/>
    <w:basedOn w:val="BasicParagraph"/>
    <w:next w:val="Normal"/>
    <w:link w:val="TitleChar"/>
    <w:semiHidden/>
    <w:rsid w:val="00294E19"/>
    <w:pPr>
      <w:spacing w:before="1560"/>
      <w:jc w:val="right"/>
    </w:pPr>
    <w:rPr>
      <w:rFonts w:asciiTheme="majorHAnsi" w:hAnsiTheme="majorHAnsi" w:cstheme="majorHAnsi"/>
      <w:b/>
      <w:bCs/>
      <w:color w:val="425364" w:themeColor="text1"/>
      <w:spacing w:val="-10"/>
      <w:sz w:val="48"/>
      <w:szCs w:val="48"/>
    </w:rPr>
  </w:style>
  <w:style w:type="character" w:customStyle="1" w:styleId="TitleChar">
    <w:name w:val="Title Char"/>
    <w:basedOn w:val="DefaultParagraphFont"/>
    <w:link w:val="Title"/>
    <w:semiHidden/>
    <w:rsid w:val="0054675E"/>
    <w:rPr>
      <w:rFonts w:asciiTheme="majorHAnsi" w:hAnsiTheme="majorHAnsi" w:cstheme="majorHAnsi"/>
      <w:b/>
      <w:bCs/>
      <w:color w:val="425364" w:themeColor="text1"/>
      <w:spacing w:val="-10"/>
      <w:sz w:val="48"/>
      <w:szCs w:val="48"/>
      <w:lang w:val="en-CA"/>
    </w:rPr>
  </w:style>
  <w:style w:type="paragraph" w:styleId="Subtitle">
    <w:name w:val="Subtitle"/>
    <w:basedOn w:val="Normal"/>
    <w:next w:val="Normal"/>
    <w:link w:val="SubtitleChar"/>
    <w:semiHidden/>
    <w:rsid w:val="00294E19"/>
    <w:pPr>
      <w:spacing w:before="80" w:after="480"/>
      <w:jc w:val="right"/>
    </w:pPr>
    <w:rPr>
      <w:rFonts w:asciiTheme="majorHAnsi" w:hAnsiTheme="majorHAnsi" w:cstheme="majorHAnsi"/>
      <w:sz w:val="40"/>
      <w:szCs w:val="40"/>
    </w:rPr>
  </w:style>
  <w:style w:type="character" w:customStyle="1" w:styleId="SubtitleChar">
    <w:name w:val="Subtitle Char"/>
    <w:basedOn w:val="DefaultParagraphFont"/>
    <w:link w:val="Subtitle"/>
    <w:semiHidden/>
    <w:rsid w:val="0054675E"/>
    <w:rPr>
      <w:rFonts w:asciiTheme="majorHAnsi" w:hAnsiTheme="majorHAnsi" w:cstheme="majorHAnsi"/>
      <w:sz w:val="40"/>
      <w:szCs w:val="40"/>
      <w:lang w:val="en-CA"/>
    </w:rPr>
  </w:style>
  <w:style w:type="paragraph" w:customStyle="1" w:styleId="CoverLine">
    <w:name w:val="Cover Line"/>
    <w:basedOn w:val="Normal"/>
    <w:uiPriority w:val="4"/>
    <w:qFormat/>
    <w:rsid w:val="00DE4183"/>
    <w:pPr>
      <w:spacing w:after="360"/>
      <w:jc w:val="right"/>
    </w:pPr>
  </w:style>
  <w:style w:type="paragraph" w:customStyle="1" w:styleId="CoverRFPName">
    <w:name w:val="Cover RFP Name"/>
    <w:basedOn w:val="Normal"/>
    <w:uiPriority w:val="4"/>
    <w:qFormat/>
    <w:rsid w:val="00DE4183"/>
    <w:pPr>
      <w:spacing w:after="480"/>
      <w:ind w:firstLine="720"/>
      <w:jc w:val="right"/>
    </w:pPr>
    <w:rPr>
      <w:rFonts w:asciiTheme="majorHAnsi" w:hAnsiTheme="majorHAnsi" w:cstheme="majorHAnsi"/>
      <w:sz w:val="40"/>
      <w:szCs w:val="40"/>
    </w:rPr>
  </w:style>
  <w:style w:type="character" w:customStyle="1" w:styleId="WatsonTextinFooter">
    <w:name w:val="Watson Text in Footer"/>
    <w:uiPriority w:val="4"/>
    <w:qFormat/>
    <w:rsid w:val="00C235EF"/>
    <w:rPr>
      <w:color w:val="7A97AB" w:themeColor="text2"/>
      <w:sz w:val="20"/>
    </w:rPr>
  </w:style>
  <w:style w:type="paragraph" w:customStyle="1" w:styleId="FooterforToC">
    <w:name w:val="Footer for ToC"/>
    <w:uiPriority w:val="4"/>
    <w:qFormat/>
    <w:rsid w:val="00C235EF"/>
    <w:pPr>
      <w:pBdr>
        <w:top w:val="single" w:sz="6" w:space="1" w:color="425364" w:themeColor="text1"/>
      </w:pBdr>
      <w:jc w:val="right"/>
    </w:pPr>
    <w:rPr>
      <w:i/>
      <w:noProof/>
      <w:sz w:val="16"/>
    </w:rPr>
  </w:style>
  <w:style w:type="paragraph" w:styleId="EndnoteText">
    <w:name w:val="endnote text"/>
    <w:basedOn w:val="Normal"/>
    <w:link w:val="EndnoteTextChar"/>
    <w:uiPriority w:val="99"/>
    <w:semiHidden/>
    <w:unhideWhenUsed/>
    <w:rsid w:val="0008218E"/>
    <w:rPr>
      <w:sz w:val="20"/>
      <w:szCs w:val="20"/>
    </w:rPr>
  </w:style>
  <w:style w:type="character" w:customStyle="1" w:styleId="EndnoteTextChar">
    <w:name w:val="Endnote Text Char"/>
    <w:basedOn w:val="DefaultParagraphFont"/>
    <w:link w:val="EndnoteText"/>
    <w:uiPriority w:val="99"/>
    <w:semiHidden/>
    <w:rsid w:val="0008218E"/>
    <w:rPr>
      <w:sz w:val="20"/>
      <w:szCs w:val="20"/>
    </w:rPr>
  </w:style>
  <w:style w:type="character" w:styleId="EndnoteReference">
    <w:name w:val="endnote reference"/>
    <w:basedOn w:val="DefaultParagraphFont"/>
    <w:uiPriority w:val="99"/>
    <w:semiHidden/>
    <w:unhideWhenUsed/>
    <w:rsid w:val="0008218E"/>
    <w:rPr>
      <w:vertAlign w:val="superscript"/>
    </w:rPr>
  </w:style>
  <w:style w:type="paragraph" w:customStyle="1" w:styleId="Headingnonumber">
    <w:name w:val="Heading no number"/>
    <w:basedOn w:val="Heading1"/>
    <w:next w:val="BodyText"/>
    <w:link w:val="HeadingnonumberChar"/>
    <w:qFormat/>
    <w:rsid w:val="00B00269"/>
    <w:pPr>
      <w:numPr>
        <w:numId w:val="0"/>
      </w:numPr>
    </w:pPr>
  </w:style>
  <w:style w:type="character" w:customStyle="1" w:styleId="HeadingnonumberChar">
    <w:name w:val="Heading no number Char"/>
    <w:basedOn w:val="Heading1Char"/>
    <w:link w:val="Headingnonumber"/>
    <w:rsid w:val="0054675E"/>
    <w:rPr>
      <w:rFonts w:eastAsiaTheme="majorEastAsia" w:cstheme="majorBidi"/>
      <w:color w:val="000000"/>
      <w:sz w:val="40"/>
      <w:szCs w:val="48"/>
      <w:lang w:val="en-CA" w:eastAsia="ja-JP"/>
    </w:rPr>
  </w:style>
  <w:style w:type="paragraph" w:customStyle="1" w:styleId="BodyText">
    <w:name w:val="BodyText"/>
    <w:basedOn w:val="Header"/>
    <w:link w:val="BodyTextChar"/>
    <w:qFormat/>
    <w:rsid w:val="00551A91"/>
    <w:pPr>
      <w:tabs>
        <w:tab w:val="clear" w:pos="4320"/>
        <w:tab w:val="clear" w:pos="8640"/>
      </w:tabs>
      <w:spacing w:after="240" w:line="300" w:lineRule="auto"/>
      <w:jc w:val="left"/>
    </w:pPr>
    <w:rPr>
      <w:rFonts w:eastAsia="Times New Roman"/>
      <w:color w:val="auto"/>
      <w:szCs w:val="20"/>
    </w:rPr>
  </w:style>
  <w:style w:type="character" w:customStyle="1" w:styleId="BodyTextChar">
    <w:name w:val="BodyText Char"/>
    <w:basedOn w:val="HeaderChar"/>
    <w:link w:val="BodyText"/>
    <w:rsid w:val="00F009B8"/>
    <w:rPr>
      <w:rFonts w:eastAsia="Times New Roman"/>
      <w:color w:val="auto"/>
      <w:szCs w:val="20"/>
      <w:lang w:val="en-CA"/>
    </w:rPr>
  </w:style>
  <w:style w:type="paragraph" w:customStyle="1" w:styleId="BodyTextSS0">
    <w:name w:val="BodyText SS"/>
    <w:basedOn w:val="BodyText"/>
    <w:link w:val="BodyTextSSChar0"/>
    <w:semiHidden/>
    <w:rsid w:val="001D22C0"/>
    <w:pPr>
      <w:spacing w:line="240" w:lineRule="auto"/>
    </w:pPr>
  </w:style>
  <w:style w:type="character" w:customStyle="1" w:styleId="BodyTextSSChar0">
    <w:name w:val="BodyText SS Char"/>
    <w:basedOn w:val="BodyTextChar"/>
    <w:link w:val="BodyTextSS0"/>
    <w:semiHidden/>
    <w:rsid w:val="00F009B8"/>
    <w:rPr>
      <w:rFonts w:eastAsia="Times New Roman"/>
      <w:color w:val="auto"/>
      <w:szCs w:val="20"/>
      <w:lang w:val="en-CA"/>
    </w:rPr>
  </w:style>
  <w:style w:type="paragraph" w:customStyle="1" w:styleId="FigureTabletitles0">
    <w:name w:val="Figure/Table titles"/>
    <w:basedOn w:val="BodyTextSS0"/>
    <w:link w:val="FigureTabletitlesChar0"/>
    <w:semiHidden/>
    <w:rsid w:val="00C93A56"/>
    <w:pPr>
      <w:keepNext/>
      <w:spacing w:after="120"/>
      <w:contextualSpacing/>
      <w:jc w:val="center"/>
    </w:pPr>
    <w:rPr>
      <w:b/>
    </w:rPr>
  </w:style>
  <w:style w:type="character" w:customStyle="1" w:styleId="FigureTabletitlesChar0">
    <w:name w:val="Figure/Table titles Char"/>
    <w:basedOn w:val="BodyTextSSChar0"/>
    <w:link w:val="FigureTabletitles0"/>
    <w:semiHidden/>
    <w:rsid w:val="00F009B8"/>
    <w:rPr>
      <w:rFonts w:eastAsia="Times New Roman"/>
      <w:b/>
      <w:color w:val="auto"/>
      <w:szCs w:val="20"/>
      <w:lang w:val="en-CA"/>
    </w:rPr>
  </w:style>
  <w:style w:type="paragraph" w:customStyle="1" w:styleId="BodyTextbullets">
    <w:name w:val="BodyText bullets"/>
    <w:basedOn w:val="BodyText"/>
    <w:link w:val="BodyTextbulletsChar"/>
    <w:semiHidden/>
    <w:rsid w:val="00C93A56"/>
    <w:pPr>
      <w:ind w:left="720" w:hanging="360"/>
      <w:contextualSpacing/>
    </w:pPr>
  </w:style>
  <w:style w:type="character" w:customStyle="1" w:styleId="BodyTextbulletsChar">
    <w:name w:val="BodyText bullets Char"/>
    <w:basedOn w:val="BodyTextChar"/>
    <w:link w:val="BodyTextbullets"/>
    <w:semiHidden/>
    <w:rsid w:val="00F009B8"/>
    <w:rPr>
      <w:rFonts w:eastAsia="Times New Roman"/>
      <w:color w:val="auto"/>
      <w:szCs w:val="20"/>
      <w:lang w:val="en-CA"/>
    </w:rPr>
  </w:style>
  <w:style w:type="paragraph" w:styleId="TOC8">
    <w:name w:val="toc 8"/>
    <w:basedOn w:val="Normal"/>
    <w:next w:val="Normal"/>
    <w:autoRedefine/>
    <w:uiPriority w:val="39"/>
    <w:unhideWhenUsed/>
    <w:rsid w:val="00845799"/>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45799"/>
    <w:pPr>
      <w:ind w:left="192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845799"/>
    <w:rPr>
      <w:color w:val="605E5C"/>
      <w:shd w:val="clear" w:color="auto" w:fill="E1DFDD"/>
    </w:rPr>
  </w:style>
  <w:style w:type="paragraph" w:customStyle="1" w:styleId="ChapterDividers">
    <w:name w:val="Chapter Dividers"/>
    <w:basedOn w:val="APPdivider"/>
    <w:link w:val="ChapterDividersChar"/>
    <w:uiPriority w:val="3"/>
    <w:qFormat/>
    <w:rsid w:val="00DC5440"/>
    <w:pPr>
      <w:outlineLvl w:val="9"/>
    </w:pPr>
    <w:rPr>
      <w:noProof/>
    </w:rPr>
  </w:style>
  <w:style w:type="character" w:customStyle="1" w:styleId="ChapterDividersChar">
    <w:name w:val="Chapter Dividers Char"/>
    <w:basedOn w:val="APPdividerChar"/>
    <w:link w:val="ChapterDividers"/>
    <w:uiPriority w:val="3"/>
    <w:rsid w:val="00DC5440"/>
    <w:rPr>
      <w:noProof/>
      <w:color w:val="000000"/>
      <w:sz w:val="96"/>
      <w:szCs w:val="96"/>
      <w:lang w:val="en-CA"/>
    </w:rPr>
  </w:style>
  <w:style w:type="paragraph" w:customStyle="1" w:styleId="Dividers">
    <w:name w:val="Dividers"/>
    <w:basedOn w:val="APPdivider"/>
    <w:link w:val="DividersChar"/>
    <w:uiPriority w:val="4"/>
    <w:qFormat/>
    <w:rsid w:val="00D779FC"/>
    <w:pPr>
      <w:framePr w:wrap="around" w:vAnchor="text" w:hAnchor="text" w:y="1"/>
      <w:tabs>
        <w:tab w:val="clear" w:pos="6019"/>
      </w:tabs>
      <w:ind w:left="1440" w:right="1440"/>
      <w:outlineLvl w:val="9"/>
    </w:pPr>
  </w:style>
  <w:style w:type="character" w:customStyle="1" w:styleId="DividersChar">
    <w:name w:val="Dividers Char"/>
    <w:basedOn w:val="APPdividerChar"/>
    <w:link w:val="Dividers"/>
    <w:uiPriority w:val="4"/>
    <w:rsid w:val="00FF6955"/>
    <w:rPr>
      <w:color w:val="6E6E6E"/>
      <w:sz w:val="96"/>
      <w:szCs w:val="96"/>
      <w:lang w:val="en-CA"/>
    </w:rPr>
  </w:style>
  <w:style w:type="paragraph" w:customStyle="1" w:styleId="BoldHeading">
    <w:name w:val="Bold Heading"/>
    <w:basedOn w:val="BodyText125"/>
    <w:link w:val="BoldHeadingChar"/>
    <w:uiPriority w:val="1"/>
    <w:qFormat/>
    <w:rsid w:val="00F5670B"/>
    <w:pPr>
      <w:keepNext/>
    </w:pPr>
    <w:rPr>
      <w:b/>
    </w:rPr>
  </w:style>
  <w:style w:type="character" w:customStyle="1" w:styleId="BoldHeadingChar">
    <w:name w:val="Bold Heading Char"/>
    <w:basedOn w:val="BodyText125Char"/>
    <w:link w:val="BoldHeading"/>
    <w:uiPriority w:val="1"/>
    <w:rsid w:val="00F009B8"/>
    <w:rPr>
      <w:rFonts w:eastAsia="Times New Roman"/>
      <w:b/>
      <w:lang w:val="en-CA"/>
    </w:rPr>
  </w:style>
  <w:style w:type="paragraph" w:customStyle="1" w:styleId="ChapterDividersTitle">
    <w:name w:val="Chapter Dividers Title"/>
    <w:basedOn w:val="ChapterDividers"/>
    <w:link w:val="ChapterDividersTitleChar"/>
    <w:autoRedefine/>
    <w:uiPriority w:val="3"/>
    <w:qFormat/>
    <w:rsid w:val="00311F8E"/>
    <w:rPr>
      <w:sz w:val="68"/>
      <w:szCs w:val="68"/>
    </w:rPr>
  </w:style>
  <w:style w:type="paragraph" w:customStyle="1" w:styleId="APPDividerTitle">
    <w:name w:val="APP Divider Title"/>
    <w:basedOn w:val="APPdivider"/>
    <w:link w:val="APPDividerTitleChar"/>
    <w:uiPriority w:val="4"/>
    <w:qFormat/>
    <w:rsid w:val="00215CE1"/>
    <w:rPr>
      <w:sz w:val="68"/>
      <w:szCs w:val="68"/>
    </w:rPr>
  </w:style>
  <w:style w:type="character" w:customStyle="1" w:styleId="ChapterDividersTitleChar">
    <w:name w:val="Chapter Dividers Title Char"/>
    <w:basedOn w:val="ChapterDividersChar"/>
    <w:link w:val="ChapterDividersTitle"/>
    <w:uiPriority w:val="3"/>
    <w:rsid w:val="00FF6955"/>
    <w:rPr>
      <w:noProof/>
      <w:color w:val="6E6E6E"/>
      <w:sz w:val="68"/>
      <w:szCs w:val="68"/>
      <w:lang w:val="en-CA"/>
    </w:rPr>
  </w:style>
  <w:style w:type="paragraph" w:customStyle="1" w:styleId="Underlinedheading">
    <w:name w:val="Underlined heading"/>
    <w:basedOn w:val="BodyText125"/>
    <w:link w:val="UnderlinedheadingChar"/>
    <w:uiPriority w:val="2"/>
    <w:qFormat/>
    <w:rsid w:val="00FF6955"/>
    <w:pPr>
      <w:keepNext/>
    </w:pPr>
    <w:rPr>
      <w:u w:val="single"/>
    </w:rPr>
  </w:style>
  <w:style w:type="character" w:customStyle="1" w:styleId="APPDividerTitleChar">
    <w:name w:val="APP Divider Title Char"/>
    <w:basedOn w:val="APPdividerChar"/>
    <w:link w:val="APPDividerTitle"/>
    <w:uiPriority w:val="4"/>
    <w:rsid w:val="00FF6955"/>
    <w:rPr>
      <w:color w:val="6E6E6E"/>
      <w:sz w:val="68"/>
      <w:szCs w:val="68"/>
      <w:lang w:val="en-CA"/>
    </w:rPr>
  </w:style>
  <w:style w:type="character" w:customStyle="1" w:styleId="UnderlinedheadingChar">
    <w:name w:val="Underlined heading Char"/>
    <w:basedOn w:val="BodyText125Char"/>
    <w:link w:val="Underlinedheading"/>
    <w:uiPriority w:val="2"/>
    <w:rsid w:val="00FF6955"/>
    <w:rPr>
      <w:rFonts w:eastAsia="Times New Roman"/>
      <w:u w:val="single"/>
      <w:lang w:val="en-CA"/>
    </w:rPr>
  </w:style>
  <w:style w:type="character" w:styleId="CommentReference">
    <w:name w:val="annotation reference"/>
    <w:basedOn w:val="DefaultParagraphFont"/>
    <w:uiPriority w:val="99"/>
    <w:semiHidden/>
    <w:unhideWhenUsed/>
    <w:rsid w:val="00067456"/>
    <w:rPr>
      <w:sz w:val="16"/>
      <w:szCs w:val="16"/>
    </w:rPr>
  </w:style>
  <w:style w:type="paragraph" w:styleId="CommentText">
    <w:name w:val="annotation text"/>
    <w:basedOn w:val="Normal"/>
    <w:link w:val="CommentTextChar"/>
    <w:uiPriority w:val="99"/>
    <w:unhideWhenUsed/>
    <w:rsid w:val="00067456"/>
    <w:rPr>
      <w:sz w:val="20"/>
      <w:szCs w:val="20"/>
    </w:rPr>
  </w:style>
  <w:style w:type="character" w:customStyle="1" w:styleId="CommentTextChar">
    <w:name w:val="Comment Text Char"/>
    <w:basedOn w:val="DefaultParagraphFont"/>
    <w:link w:val="CommentText"/>
    <w:uiPriority w:val="99"/>
    <w:rsid w:val="00067456"/>
    <w:rPr>
      <w:color w:val="000000"/>
      <w:sz w:val="20"/>
      <w:szCs w:val="20"/>
      <w:lang w:val="en-CA"/>
    </w:rPr>
  </w:style>
  <w:style w:type="paragraph" w:styleId="CommentSubject">
    <w:name w:val="annotation subject"/>
    <w:basedOn w:val="CommentText"/>
    <w:next w:val="CommentText"/>
    <w:link w:val="CommentSubjectChar"/>
    <w:uiPriority w:val="99"/>
    <w:semiHidden/>
    <w:unhideWhenUsed/>
    <w:rsid w:val="00067456"/>
    <w:rPr>
      <w:b/>
      <w:bCs/>
    </w:rPr>
  </w:style>
  <w:style w:type="character" w:customStyle="1" w:styleId="CommentSubjectChar">
    <w:name w:val="Comment Subject Char"/>
    <w:basedOn w:val="CommentTextChar"/>
    <w:link w:val="CommentSubject"/>
    <w:uiPriority w:val="99"/>
    <w:semiHidden/>
    <w:rsid w:val="00067456"/>
    <w:rPr>
      <w:b/>
      <w:bCs/>
      <w:color w:val="000000"/>
      <w:sz w:val="20"/>
      <w:szCs w:val="20"/>
      <w:lang w:val="en-CA"/>
    </w:rPr>
  </w:style>
  <w:style w:type="paragraph" w:customStyle="1" w:styleId="Sourcecaptions">
    <w:name w:val="Source captions"/>
    <w:basedOn w:val="BodyText125"/>
    <w:link w:val="SourcecaptionsChar"/>
    <w:uiPriority w:val="2"/>
    <w:qFormat/>
    <w:rsid w:val="001658FE"/>
    <w:pPr>
      <w:spacing w:after="360" w:line="240" w:lineRule="auto"/>
      <w:contextualSpacing/>
    </w:pPr>
    <w:rPr>
      <w:sz w:val="22"/>
      <w:lang w:val="en-US"/>
    </w:rPr>
  </w:style>
  <w:style w:type="character" w:customStyle="1" w:styleId="SourcecaptionsChar">
    <w:name w:val="Source captions Char"/>
    <w:basedOn w:val="DefaultParagraphFont"/>
    <w:link w:val="Sourcecaptions"/>
    <w:uiPriority w:val="2"/>
    <w:rsid w:val="001658FE"/>
    <w:rPr>
      <w:rFonts w:eastAsia="Times New Roman"/>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014329">
      <w:bodyDiv w:val="1"/>
      <w:marLeft w:val="0"/>
      <w:marRight w:val="0"/>
      <w:marTop w:val="0"/>
      <w:marBottom w:val="0"/>
      <w:divBdr>
        <w:top w:val="none" w:sz="0" w:space="0" w:color="auto"/>
        <w:left w:val="none" w:sz="0" w:space="0" w:color="auto"/>
        <w:bottom w:val="none" w:sz="0" w:space="0" w:color="auto"/>
        <w:right w:val="none" w:sz="0" w:space="0" w:color="auto"/>
      </w:divBdr>
    </w:div>
    <w:div w:id="1239709082">
      <w:bodyDiv w:val="1"/>
      <w:marLeft w:val="0"/>
      <w:marRight w:val="0"/>
      <w:marTop w:val="0"/>
      <w:marBottom w:val="0"/>
      <w:divBdr>
        <w:top w:val="none" w:sz="0" w:space="0" w:color="auto"/>
        <w:left w:val="none" w:sz="0" w:space="0" w:color="auto"/>
        <w:bottom w:val="none" w:sz="0" w:space="0" w:color="auto"/>
        <w:right w:val="none" w:sz="0" w:space="0" w:color="auto"/>
      </w:divBdr>
    </w:div>
    <w:div w:id="1458252843">
      <w:bodyDiv w:val="1"/>
      <w:marLeft w:val="0"/>
      <w:marRight w:val="0"/>
      <w:marTop w:val="0"/>
      <w:marBottom w:val="0"/>
      <w:divBdr>
        <w:top w:val="none" w:sz="0" w:space="0" w:color="auto"/>
        <w:left w:val="none" w:sz="0" w:space="0" w:color="auto"/>
        <w:bottom w:val="none" w:sz="0" w:space="0" w:color="auto"/>
        <w:right w:val="none" w:sz="0" w:space="0" w:color="auto"/>
      </w:divBdr>
    </w:div>
    <w:div w:id="1641425273">
      <w:bodyDiv w:val="1"/>
      <w:marLeft w:val="0"/>
      <w:marRight w:val="0"/>
      <w:marTop w:val="0"/>
      <w:marBottom w:val="0"/>
      <w:divBdr>
        <w:top w:val="none" w:sz="0" w:space="0" w:color="auto"/>
        <w:left w:val="none" w:sz="0" w:space="0" w:color="auto"/>
        <w:bottom w:val="none" w:sz="0" w:space="0" w:color="auto"/>
        <w:right w:val="none" w:sz="0" w:space="0" w:color="auto"/>
      </w:divBdr>
    </w:div>
    <w:div w:id="20599309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8.emf"/><Relationship Id="rId21" Type="http://schemas.openxmlformats.org/officeDocument/2006/relationships/footer" Target="footer5.xml"/><Relationship Id="rId42" Type="http://schemas.openxmlformats.org/officeDocument/2006/relationships/footer" Target="footer18.xml"/><Relationship Id="rId63" Type="http://schemas.openxmlformats.org/officeDocument/2006/relationships/image" Target="media/image18.emf"/><Relationship Id="rId84" Type="http://schemas.openxmlformats.org/officeDocument/2006/relationships/footer" Target="footer37.xml"/><Relationship Id="rId138" Type="http://schemas.openxmlformats.org/officeDocument/2006/relationships/image" Target="media/image67.emf"/><Relationship Id="rId159" Type="http://schemas.openxmlformats.org/officeDocument/2006/relationships/theme" Target="theme/theme1.xml"/><Relationship Id="rId107" Type="http://schemas.openxmlformats.org/officeDocument/2006/relationships/image" Target="media/image40.emf"/><Relationship Id="rId11" Type="http://schemas.openxmlformats.org/officeDocument/2006/relationships/image" Target="media/image3.png"/><Relationship Id="rId32" Type="http://schemas.openxmlformats.org/officeDocument/2006/relationships/header" Target="header13.xml"/><Relationship Id="rId53" Type="http://schemas.openxmlformats.org/officeDocument/2006/relationships/image" Target="media/image11.emf"/><Relationship Id="rId74" Type="http://schemas.openxmlformats.org/officeDocument/2006/relationships/footer" Target="footer31.xml"/><Relationship Id="rId128" Type="http://schemas.openxmlformats.org/officeDocument/2006/relationships/image" Target="media/image59.emf"/><Relationship Id="rId149" Type="http://schemas.openxmlformats.org/officeDocument/2006/relationships/footer" Target="footer54.xml"/><Relationship Id="rId5" Type="http://schemas.openxmlformats.org/officeDocument/2006/relationships/webSettings" Target="webSettings.xml"/><Relationship Id="rId95" Type="http://schemas.openxmlformats.org/officeDocument/2006/relationships/header" Target="header19.xml"/><Relationship Id="rId160" Type="http://schemas.openxmlformats.org/officeDocument/2006/relationships/customXml" Target="../customXml/item2.xml"/><Relationship Id="rId22" Type="http://schemas.openxmlformats.org/officeDocument/2006/relationships/header" Target="header9.xml"/><Relationship Id="rId43" Type="http://schemas.openxmlformats.org/officeDocument/2006/relationships/footer" Target="footer19.xml"/><Relationship Id="rId64" Type="http://schemas.openxmlformats.org/officeDocument/2006/relationships/image" Target="media/image19.emf"/><Relationship Id="rId118" Type="http://schemas.openxmlformats.org/officeDocument/2006/relationships/image" Target="media/image49.emf"/><Relationship Id="rId139" Type="http://schemas.openxmlformats.org/officeDocument/2006/relationships/image" Target="media/image68.emf"/><Relationship Id="rId85" Type="http://schemas.openxmlformats.org/officeDocument/2006/relationships/footer" Target="footer38.xml"/><Relationship Id="rId150" Type="http://schemas.openxmlformats.org/officeDocument/2006/relationships/footer" Target="footer55.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footer" Target="footer11.xml"/><Relationship Id="rId38" Type="http://schemas.openxmlformats.org/officeDocument/2006/relationships/footer" Target="footer15.xml"/><Relationship Id="rId59" Type="http://schemas.openxmlformats.org/officeDocument/2006/relationships/footer" Target="footer27.xml"/><Relationship Id="rId103" Type="http://schemas.openxmlformats.org/officeDocument/2006/relationships/image" Target="media/image36.emf"/><Relationship Id="rId108" Type="http://schemas.openxmlformats.org/officeDocument/2006/relationships/footer" Target="footer46.xml"/><Relationship Id="rId124" Type="http://schemas.openxmlformats.org/officeDocument/2006/relationships/image" Target="media/image55.emf"/><Relationship Id="rId129" Type="http://schemas.openxmlformats.org/officeDocument/2006/relationships/image" Target="media/image60.emf"/><Relationship Id="rId54" Type="http://schemas.openxmlformats.org/officeDocument/2006/relationships/image" Target="media/image12.emf"/><Relationship Id="rId70" Type="http://schemas.openxmlformats.org/officeDocument/2006/relationships/image" Target="media/image23.emf"/><Relationship Id="rId75" Type="http://schemas.openxmlformats.org/officeDocument/2006/relationships/footer" Target="footer32.xml"/><Relationship Id="rId91" Type="http://schemas.openxmlformats.org/officeDocument/2006/relationships/header" Target="header17.xml"/><Relationship Id="rId96" Type="http://schemas.openxmlformats.org/officeDocument/2006/relationships/footer" Target="footer45.xml"/><Relationship Id="rId140" Type="http://schemas.openxmlformats.org/officeDocument/2006/relationships/footer" Target="footer50.xml"/><Relationship Id="rId145" Type="http://schemas.openxmlformats.org/officeDocument/2006/relationships/image" Target="media/image72.emf"/><Relationship Id="rId16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6.xml"/><Relationship Id="rId28" Type="http://schemas.openxmlformats.org/officeDocument/2006/relationships/header" Target="header11.xml"/><Relationship Id="rId49" Type="http://schemas.openxmlformats.org/officeDocument/2006/relationships/image" Target="media/image10.emf"/><Relationship Id="rId114" Type="http://schemas.openxmlformats.org/officeDocument/2006/relationships/image" Target="media/image45.emf"/><Relationship Id="rId119" Type="http://schemas.openxmlformats.org/officeDocument/2006/relationships/image" Target="media/image50.emf"/><Relationship Id="rId44" Type="http://schemas.openxmlformats.org/officeDocument/2006/relationships/footer" Target="footer20.xml"/><Relationship Id="rId60" Type="http://schemas.openxmlformats.org/officeDocument/2006/relationships/image" Target="media/image15.emf"/><Relationship Id="rId65" Type="http://schemas.openxmlformats.org/officeDocument/2006/relationships/footer" Target="footer28.xml"/><Relationship Id="rId81" Type="http://schemas.openxmlformats.org/officeDocument/2006/relationships/footer" Target="footer34.xml"/><Relationship Id="rId86" Type="http://schemas.openxmlformats.org/officeDocument/2006/relationships/footer" Target="footer39.xml"/><Relationship Id="rId130" Type="http://schemas.openxmlformats.org/officeDocument/2006/relationships/image" Target="media/image61.emf"/><Relationship Id="rId135" Type="http://schemas.openxmlformats.org/officeDocument/2006/relationships/image" Target="media/image66.emf"/><Relationship Id="rId151" Type="http://schemas.openxmlformats.org/officeDocument/2006/relationships/footer" Target="footer56.xml"/><Relationship Id="rId156" Type="http://schemas.openxmlformats.org/officeDocument/2006/relationships/footer" Target="footer58.xml"/><Relationship Id="rId13" Type="http://schemas.openxmlformats.org/officeDocument/2006/relationships/footer" Target="footer2.xml"/><Relationship Id="rId18" Type="http://schemas.openxmlformats.org/officeDocument/2006/relationships/header" Target="header7.xml"/><Relationship Id="rId39" Type="http://schemas.openxmlformats.org/officeDocument/2006/relationships/footer" Target="footer16.xml"/><Relationship Id="rId109" Type="http://schemas.openxmlformats.org/officeDocument/2006/relationships/footer" Target="footer47.xml"/><Relationship Id="rId34"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footer" Target="footer25.xml"/><Relationship Id="rId76" Type="http://schemas.openxmlformats.org/officeDocument/2006/relationships/footer" Target="footer33.xml"/><Relationship Id="rId97" Type="http://schemas.openxmlformats.org/officeDocument/2006/relationships/image" Target="media/image30.emf"/><Relationship Id="rId104" Type="http://schemas.openxmlformats.org/officeDocument/2006/relationships/image" Target="media/image37.emf"/><Relationship Id="rId120" Type="http://schemas.openxmlformats.org/officeDocument/2006/relationships/image" Target="media/image51.emf"/><Relationship Id="rId125" Type="http://schemas.openxmlformats.org/officeDocument/2006/relationships/image" Target="media/image56.emf"/><Relationship Id="rId141" Type="http://schemas.openxmlformats.org/officeDocument/2006/relationships/footer" Target="footer51.xml"/><Relationship Id="rId146" Type="http://schemas.openxmlformats.org/officeDocument/2006/relationships/image" Target="media/image73.emf"/><Relationship Id="rId7" Type="http://schemas.openxmlformats.org/officeDocument/2006/relationships/endnotes" Target="endnotes.xml"/><Relationship Id="rId71" Type="http://schemas.openxmlformats.org/officeDocument/2006/relationships/image" Target="media/image24.emf"/><Relationship Id="rId92" Type="http://schemas.openxmlformats.org/officeDocument/2006/relationships/footer" Target="footer43.xml"/><Relationship Id="rId16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10.xml"/><Relationship Id="rId40" Type="http://schemas.openxmlformats.org/officeDocument/2006/relationships/image" Target="media/image7.emf"/><Relationship Id="rId45" Type="http://schemas.openxmlformats.org/officeDocument/2006/relationships/image" Target="media/image8.emf"/><Relationship Id="rId66" Type="http://schemas.openxmlformats.org/officeDocument/2006/relationships/footer" Target="footer29.xml"/><Relationship Id="rId87" Type="http://schemas.openxmlformats.org/officeDocument/2006/relationships/footer" Target="footer40.xml"/><Relationship Id="rId110" Type="http://schemas.openxmlformats.org/officeDocument/2006/relationships/image" Target="media/image41.emf"/><Relationship Id="rId115" Type="http://schemas.openxmlformats.org/officeDocument/2006/relationships/image" Target="media/image46.emf"/><Relationship Id="rId131" Type="http://schemas.openxmlformats.org/officeDocument/2006/relationships/image" Target="media/image62.emf"/><Relationship Id="rId136" Type="http://schemas.openxmlformats.org/officeDocument/2006/relationships/footer" Target="footer48.xml"/><Relationship Id="rId157" Type="http://schemas.openxmlformats.org/officeDocument/2006/relationships/footer" Target="footer59.xml"/><Relationship Id="rId61" Type="http://schemas.openxmlformats.org/officeDocument/2006/relationships/image" Target="media/image16.emf"/><Relationship Id="rId82" Type="http://schemas.openxmlformats.org/officeDocument/2006/relationships/footer" Target="footer35.xml"/><Relationship Id="rId152" Type="http://schemas.openxmlformats.org/officeDocument/2006/relationships/footer" Target="footer57.xml"/><Relationship Id="rId19" Type="http://schemas.openxmlformats.org/officeDocument/2006/relationships/footer" Target="footer4.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2.xml"/><Relationship Id="rId56" Type="http://schemas.openxmlformats.org/officeDocument/2006/relationships/image" Target="media/image13.emf"/><Relationship Id="rId77" Type="http://schemas.openxmlformats.org/officeDocument/2006/relationships/image" Target="media/image26.emf"/><Relationship Id="rId100" Type="http://schemas.openxmlformats.org/officeDocument/2006/relationships/image" Target="media/image33.emf"/><Relationship Id="rId105" Type="http://schemas.openxmlformats.org/officeDocument/2006/relationships/image" Target="media/image38.emf"/><Relationship Id="rId126" Type="http://schemas.openxmlformats.org/officeDocument/2006/relationships/image" Target="media/image57.emf"/><Relationship Id="rId147" Type="http://schemas.openxmlformats.org/officeDocument/2006/relationships/footer" Target="footer52.xml"/><Relationship Id="rId8" Type="http://schemas.openxmlformats.org/officeDocument/2006/relationships/header" Target="header1.xml"/><Relationship Id="rId51" Type="http://schemas.openxmlformats.org/officeDocument/2006/relationships/footer" Target="footer23.xml"/><Relationship Id="rId72" Type="http://schemas.openxmlformats.org/officeDocument/2006/relationships/image" Target="media/image25.emf"/><Relationship Id="rId93" Type="http://schemas.openxmlformats.org/officeDocument/2006/relationships/header" Target="header18.xml"/><Relationship Id="rId98" Type="http://schemas.openxmlformats.org/officeDocument/2006/relationships/image" Target="media/image31.emf"/><Relationship Id="rId121" Type="http://schemas.openxmlformats.org/officeDocument/2006/relationships/image" Target="media/image52.emf"/><Relationship Id="rId142" Type="http://schemas.openxmlformats.org/officeDocument/2006/relationships/image" Target="media/image69.emf"/><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footer" Target="footer21.xml"/><Relationship Id="rId67" Type="http://schemas.openxmlformats.org/officeDocument/2006/relationships/image" Target="media/image20.emf"/><Relationship Id="rId116" Type="http://schemas.openxmlformats.org/officeDocument/2006/relationships/image" Target="media/image47.emf"/><Relationship Id="rId137" Type="http://schemas.openxmlformats.org/officeDocument/2006/relationships/footer" Target="footer49.xml"/><Relationship Id="rId158" Type="http://schemas.openxmlformats.org/officeDocument/2006/relationships/fontTable" Target="fontTable.xml"/><Relationship Id="rId20" Type="http://schemas.openxmlformats.org/officeDocument/2006/relationships/header" Target="header8.xml"/><Relationship Id="rId41" Type="http://schemas.openxmlformats.org/officeDocument/2006/relationships/footer" Target="footer17.xml"/><Relationship Id="rId62" Type="http://schemas.openxmlformats.org/officeDocument/2006/relationships/image" Target="media/image17.emf"/><Relationship Id="rId83" Type="http://schemas.openxmlformats.org/officeDocument/2006/relationships/footer" Target="footer36.xml"/><Relationship Id="rId88" Type="http://schemas.openxmlformats.org/officeDocument/2006/relationships/footer" Target="footer41.xml"/><Relationship Id="rId111" Type="http://schemas.openxmlformats.org/officeDocument/2006/relationships/image" Target="media/image42.emf"/><Relationship Id="rId132" Type="http://schemas.openxmlformats.org/officeDocument/2006/relationships/image" Target="media/image63.emf"/><Relationship Id="rId153" Type="http://schemas.openxmlformats.org/officeDocument/2006/relationships/image" Target="media/image74.emf"/><Relationship Id="rId15" Type="http://schemas.openxmlformats.org/officeDocument/2006/relationships/footer" Target="footer3.xml"/><Relationship Id="rId36" Type="http://schemas.openxmlformats.org/officeDocument/2006/relationships/footer" Target="footer13.xml"/><Relationship Id="rId57" Type="http://schemas.openxmlformats.org/officeDocument/2006/relationships/image" Target="media/image14.emf"/><Relationship Id="rId106" Type="http://schemas.openxmlformats.org/officeDocument/2006/relationships/image" Target="media/image39.emf"/><Relationship Id="rId127" Type="http://schemas.openxmlformats.org/officeDocument/2006/relationships/image" Target="media/image58.emf"/><Relationship Id="rId10" Type="http://schemas.openxmlformats.org/officeDocument/2006/relationships/header" Target="header2.xml"/><Relationship Id="rId31" Type="http://schemas.openxmlformats.org/officeDocument/2006/relationships/footer" Target="footer10.xml"/><Relationship Id="rId52" Type="http://schemas.openxmlformats.org/officeDocument/2006/relationships/footer" Target="footer24.xml"/><Relationship Id="rId73" Type="http://schemas.openxmlformats.org/officeDocument/2006/relationships/footer" Target="footer30.xml"/><Relationship Id="rId78" Type="http://schemas.openxmlformats.org/officeDocument/2006/relationships/image" Target="media/image27.emf"/><Relationship Id="rId94" Type="http://schemas.openxmlformats.org/officeDocument/2006/relationships/footer" Target="footer44.xml"/><Relationship Id="rId99" Type="http://schemas.openxmlformats.org/officeDocument/2006/relationships/image" Target="media/image32.emf"/><Relationship Id="rId101" Type="http://schemas.openxmlformats.org/officeDocument/2006/relationships/image" Target="media/image34.emf"/><Relationship Id="rId122" Type="http://schemas.openxmlformats.org/officeDocument/2006/relationships/image" Target="media/image53.emf"/><Relationship Id="rId143" Type="http://schemas.openxmlformats.org/officeDocument/2006/relationships/image" Target="media/image70.emf"/><Relationship Id="rId148" Type="http://schemas.openxmlformats.org/officeDocument/2006/relationships/footer" Target="footer53.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footer" Target="footer8.xml"/><Relationship Id="rId47" Type="http://schemas.openxmlformats.org/officeDocument/2006/relationships/footer" Target="footer22.xml"/><Relationship Id="rId68" Type="http://schemas.openxmlformats.org/officeDocument/2006/relationships/image" Target="media/image21.emf"/><Relationship Id="rId89" Type="http://schemas.openxmlformats.org/officeDocument/2006/relationships/header" Target="header16.xml"/><Relationship Id="rId112" Type="http://schemas.openxmlformats.org/officeDocument/2006/relationships/image" Target="media/image43.emf"/><Relationship Id="rId133" Type="http://schemas.openxmlformats.org/officeDocument/2006/relationships/image" Target="media/image64.emf"/><Relationship Id="rId154" Type="http://schemas.openxmlformats.org/officeDocument/2006/relationships/oleObject" Target="embeddings/Microsoft_Visio_2003-2010_Drawing.vsd"/><Relationship Id="rId16" Type="http://schemas.openxmlformats.org/officeDocument/2006/relationships/header" Target="header5.xml"/><Relationship Id="rId37" Type="http://schemas.openxmlformats.org/officeDocument/2006/relationships/footer" Target="footer14.xml"/><Relationship Id="rId58" Type="http://schemas.openxmlformats.org/officeDocument/2006/relationships/footer" Target="footer26.xml"/><Relationship Id="rId79" Type="http://schemas.openxmlformats.org/officeDocument/2006/relationships/image" Target="media/image28.emf"/><Relationship Id="rId102" Type="http://schemas.openxmlformats.org/officeDocument/2006/relationships/image" Target="media/image35.emf"/><Relationship Id="rId123" Type="http://schemas.openxmlformats.org/officeDocument/2006/relationships/image" Target="media/image54.emf"/><Relationship Id="rId144" Type="http://schemas.openxmlformats.org/officeDocument/2006/relationships/image" Target="media/image71.emf"/><Relationship Id="rId90" Type="http://schemas.openxmlformats.org/officeDocument/2006/relationships/footer" Target="footer42.xml"/><Relationship Id="rId27" Type="http://schemas.openxmlformats.org/officeDocument/2006/relationships/image" Target="media/image6.emf"/><Relationship Id="rId48" Type="http://schemas.openxmlformats.org/officeDocument/2006/relationships/image" Target="media/image9.emf"/><Relationship Id="rId69" Type="http://schemas.openxmlformats.org/officeDocument/2006/relationships/image" Target="media/image22.emf"/><Relationship Id="rId113" Type="http://schemas.openxmlformats.org/officeDocument/2006/relationships/image" Target="media/image44.emf"/><Relationship Id="rId134" Type="http://schemas.openxmlformats.org/officeDocument/2006/relationships/image" Target="media/image65.emf"/><Relationship Id="rId80" Type="http://schemas.openxmlformats.org/officeDocument/2006/relationships/image" Target="media/image29.emf"/><Relationship Id="rId155" Type="http://schemas.openxmlformats.org/officeDocument/2006/relationships/image" Target="media/image7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5.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Watson ">
  <a:themeElements>
    <a:clrScheme name="Watson 1">
      <a:dk1>
        <a:srgbClr val="425364"/>
      </a:dk1>
      <a:lt1>
        <a:srgbClr val="FFFFFF"/>
      </a:lt1>
      <a:dk2>
        <a:srgbClr val="7A97AB"/>
      </a:dk2>
      <a:lt2>
        <a:srgbClr val="6E6E6E"/>
      </a:lt2>
      <a:accent1>
        <a:srgbClr val="EB6B34"/>
      </a:accent1>
      <a:accent2>
        <a:srgbClr val="35A0A4"/>
      </a:accent2>
      <a:accent3>
        <a:srgbClr val="942757"/>
      </a:accent3>
      <a:accent4>
        <a:srgbClr val="83A354"/>
      </a:accent4>
      <a:accent5>
        <a:srgbClr val="434F7F"/>
      </a:accent5>
      <a:accent6>
        <a:srgbClr val="2E826B"/>
      </a:accent6>
      <a:hlink>
        <a:srgbClr val="5C3F6E"/>
      </a:hlink>
      <a:folHlink>
        <a:srgbClr val="CD4834"/>
      </a:folHlink>
    </a:clrScheme>
    <a:fontScheme name="Watson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solidFill>
            <a:schemeClr val="tx1"/>
          </a:solidFill>
        </a:ln>
      </a:spPr>
      <a:bodyPr rtlCol="0" anchor="ctr"/>
      <a:lstStyle/>
      <a:style>
        <a:lnRef idx="2">
          <a:schemeClr val="dk1">
            <a:shade val="50000"/>
          </a:schemeClr>
        </a:lnRef>
        <a:fillRef idx="1">
          <a:schemeClr val="dk1"/>
        </a:fillRef>
        <a:effectRef idx="0">
          <a:schemeClr val="dk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AB8099EF3C5F84F8BC8CB287796B384" ma:contentTypeVersion="8" ma:contentTypeDescription="Create a new document." ma:contentTypeScope="" ma:versionID="33e077bef0bc565277b1a7e4875be2fe">
  <xsd:schema xmlns:xsd="http://www.w3.org/2001/XMLSchema" xmlns:xs="http://www.w3.org/2001/XMLSchema" xmlns:p="http://schemas.microsoft.com/office/2006/metadata/properties" xmlns:ns2="693d9d18-a0bd-45a1-abd4-3d63dd8205c4" xmlns:ns3="4e9946b0-c9b6-49f9-bd9f-25eb43d6a6c8" xmlns:ns4="dc2371b0-6ec0-43e0-98a0-ca64fe94772d" targetNamespace="http://schemas.microsoft.com/office/2006/metadata/properties" ma:root="true" ma:fieldsID="05f993290c08e9209b4ff0793f1becfe" ns2:_="" ns3:_="" ns4:_="">
    <xsd:import namespace="693d9d18-a0bd-45a1-abd4-3d63dd8205c4"/>
    <xsd:import namespace="4e9946b0-c9b6-49f9-bd9f-25eb43d6a6c8"/>
    <xsd:import namespace="dc2371b0-6ec0-43e0-98a0-ca64fe94772d"/>
    <xsd:element name="properties">
      <xsd:complexType>
        <xsd:sequence>
          <xsd:element name="documentManagement">
            <xsd:complexType>
              <xsd:all>
                <xsd:element ref="ns2:lcf76f155ced4ddcb4097134ff3c332f" minOccurs="0"/>
                <xsd:element ref="ns3:TaxCatchAll" minOccurs="0"/>
                <xsd:element ref="ns4:MediaServiceOCR" minOccurs="0"/>
                <xsd:element ref="ns4:MediaServiceLocation"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3d9d18-a0bd-45a1-abd4-3d63dd8205c4"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182dff12-ac8f-4ad0-807c-b63b2f020d9b" ma:termSetId="00000000-0000-0000-0000-000000000000"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9946b0-c9b6-49f9-bd9f-25eb43d6a6c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a178c4b-f36c-4476-8aa1-2a963d59c2a3}" ma:internalName="TaxCatchAll" ma:showField="CatchAllData" ma:web="4e9946b0-c9b6-49f9-bd9f-25eb43d6a6c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c2371b0-6ec0-43e0-98a0-ca64fe94772d" elementFormDefault="qualified">
    <xsd:import namespace="http://schemas.microsoft.com/office/2006/documentManagement/types"/>
    <xsd:import namespace="http://schemas.microsoft.com/office/infopath/2007/PartnerControls"/>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93d9d18-a0bd-45a1-abd4-3d63dd8205c4">
      <Terms xmlns="http://schemas.microsoft.com/office/infopath/2007/PartnerControls"/>
    </lcf76f155ced4ddcb4097134ff3c332f>
    <TaxCatchAll xmlns="4e9946b0-c9b6-49f9-bd9f-25eb43d6a6c8" xsi:nil="true"/>
  </documentManagement>
</p:properties>
</file>

<file path=customXml/itemProps1.xml><?xml version="1.0" encoding="utf-8"?>
<ds:datastoreItem xmlns:ds="http://schemas.openxmlformats.org/officeDocument/2006/customXml" ds:itemID="{554FDF6D-86D2-4CA5-8751-3D6D0AB48930}">
  <ds:schemaRefs>
    <ds:schemaRef ds:uri="http://schemas.openxmlformats.org/officeDocument/2006/bibliography"/>
  </ds:schemaRefs>
</ds:datastoreItem>
</file>

<file path=customXml/itemProps2.xml><?xml version="1.0" encoding="utf-8"?>
<ds:datastoreItem xmlns:ds="http://schemas.openxmlformats.org/officeDocument/2006/customXml" ds:itemID="{6580458D-650D-4A38-BC18-5B538EA02D49}"/>
</file>

<file path=customXml/itemProps3.xml><?xml version="1.0" encoding="utf-8"?>
<ds:datastoreItem xmlns:ds="http://schemas.openxmlformats.org/officeDocument/2006/customXml" ds:itemID="{2682B4F7-C75F-4DB6-8E3F-4E089AD5B005}"/>
</file>

<file path=customXml/itemProps4.xml><?xml version="1.0" encoding="utf-8"?>
<ds:datastoreItem xmlns:ds="http://schemas.openxmlformats.org/officeDocument/2006/customXml" ds:itemID="{729B599E-4B98-483E-AE32-E853178B34CE}"/>
</file>

<file path=docProps/app.xml><?xml version="1.0" encoding="utf-8"?>
<Properties xmlns="http://schemas.openxmlformats.org/officeDocument/2006/extended-properties" xmlns:vt="http://schemas.openxmlformats.org/officeDocument/2006/docPropsVTypes">
  <Template>Normal</Template>
  <TotalTime>84</TotalTime>
  <Pages>186</Pages>
  <Words>26284</Words>
  <Characters>149821</Characters>
  <Application>Microsoft Office Word</Application>
  <DocSecurity>0</DocSecurity>
  <Lines>1248</Lines>
  <Paragraphs>351</Paragraphs>
  <ScaleCrop>false</ScaleCrop>
  <HeadingPairs>
    <vt:vector size="2" baseType="variant">
      <vt:variant>
        <vt:lpstr>Title</vt:lpstr>
      </vt:variant>
      <vt:variant>
        <vt:i4>1</vt:i4>
      </vt:variant>
    </vt:vector>
  </HeadingPairs>
  <TitlesOfParts>
    <vt:vector size="1" baseType="lpstr">
      <vt:lpstr>Development Charges Report</vt:lpstr>
    </vt:vector>
  </TitlesOfParts>
  <Company>Watson &amp; Associates Economists Ltd.</Company>
  <LinksUpToDate>false</LinksUpToDate>
  <CharactersWithSpaces>175754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Charges Report</dc:title>
  <dc:subject/>
  <dc:creator>Subrina Goolsarran</dc:creator>
  <cp:keywords/>
  <dc:description/>
  <cp:lastModifiedBy>Daryl Abbs</cp:lastModifiedBy>
  <cp:revision>5</cp:revision>
  <cp:lastPrinted>2023-12-21T21:40:00Z</cp:lastPrinted>
  <dcterms:created xsi:type="dcterms:W3CDTF">2023-12-21T20:16:00Z</dcterms:created>
  <dcterms:modified xsi:type="dcterms:W3CDTF">2023-12-21T21:40:00Z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0x010100EAB8099EF3C5F84F8BC8CB287796B384</vt:lpwstr>
  </property>
  <property fmtid="{D5CDD505-2E9C-101B-9397-08002B2CF9AE}" pid="3" name="Order">
    <vt:r8>38200</vt:r8>
  </property>
</Properties>
</file>