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ACDA19" w14:textId="2CF72A0D" w:rsidR="00123AF0" w:rsidRDefault="00F66433" w:rsidP="00474433">
      <w:pPr>
        <w:tabs>
          <w:tab w:val="left" w:pos="2880"/>
          <w:tab w:val="left" w:pos="3544"/>
        </w:tabs>
        <w:spacing w:before="120" w:line="360" w:lineRule="auto"/>
        <w:ind w:left="0"/>
        <w:rPr>
          <w:rStyle w:val="Heading1Char"/>
        </w:rPr>
      </w:pPr>
      <w:r>
        <w:rPr>
          <w:rFonts w:ascii="Arial" w:hAnsi="Arial" w:cs="Arial"/>
          <w:b/>
          <w:noProof/>
          <w:sz w:val="28"/>
        </w:rPr>
        <mc:AlternateContent>
          <mc:Choice Requires="wps">
            <w:drawing>
              <wp:anchor distT="0" distB="0" distL="114300" distR="114300" simplePos="0" relativeHeight="251659264" behindDoc="0" locked="0" layoutInCell="1" allowOverlap="1" wp14:anchorId="2115063F" wp14:editId="48AA8228">
                <wp:simplePos x="0" y="0"/>
                <wp:positionH relativeFrom="column">
                  <wp:posOffset>-47625</wp:posOffset>
                </wp:positionH>
                <wp:positionV relativeFrom="paragraph">
                  <wp:posOffset>69850</wp:posOffset>
                </wp:positionV>
                <wp:extent cx="6210300" cy="1685925"/>
                <wp:effectExtent l="0" t="0" r="0" b="9525"/>
                <wp:wrapNone/>
                <wp:docPr id="1982192291" name="Text Box 2"/>
                <wp:cNvGraphicFramePr/>
                <a:graphic xmlns:a="http://schemas.openxmlformats.org/drawingml/2006/main">
                  <a:graphicData uri="http://schemas.microsoft.com/office/word/2010/wordprocessingShape">
                    <wps:wsp>
                      <wps:cNvSpPr txBox="1"/>
                      <wps:spPr>
                        <a:xfrm>
                          <a:off x="0" y="0"/>
                          <a:ext cx="6210300" cy="1685925"/>
                        </a:xfrm>
                        <a:prstGeom prst="rect">
                          <a:avLst/>
                        </a:prstGeom>
                        <a:solidFill>
                          <a:schemeClr val="bg1">
                            <a:lumMod val="85000"/>
                          </a:schemeClr>
                        </a:solidFill>
                        <a:ln w="6350">
                          <a:noFill/>
                        </a:ln>
                      </wps:spPr>
                      <wps:txbx>
                        <w:txbxContent>
                          <w:p w14:paraId="6F5955D9" w14:textId="30F88A81" w:rsidR="00FA3203" w:rsidRPr="007528D7" w:rsidRDefault="00F66433" w:rsidP="007528D7">
                            <w:pPr>
                              <w:ind w:left="0"/>
                              <w:jc w:val="center"/>
                              <w:rPr>
                                <w:rFonts w:ascii="Arial" w:hAnsi="Arial" w:cs="Arial"/>
                                <w:b/>
                                <w:bCs/>
                                <w:sz w:val="24"/>
                                <w:szCs w:val="24"/>
                              </w:rPr>
                            </w:pPr>
                            <w:r w:rsidRPr="00F66433">
                              <w:rPr>
                                <w:rFonts w:ascii="Arial" w:hAnsi="Arial" w:cs="Arial"/>
                                <w:b/>
                                <w:bCs/>
                                <w:sz w:val="24"/>
                                <w:szCs w:val="24"/>
                              </w:rPr>
                              <w:t>Summary of Changes</w:t>
                            </w:r>
                            <w:r>
                              <w:rPr>
                                <w:rFonts w:ascii="Arial" w:hAnsi="Arial" w:cs="Arial"/>
                                <w:b/>
                                <w:bCs/>
                                <w:sz w:val="24"/>
                                <w:szCs w:val="24"/>
                              </w:rPr>
                              <w:t>:</w:t>
                            </w:r>
                          </w:p>
                          <w:p w14:paraId="7BB2A973" w14:textId="77777777" w:rsidR="00FA3203" w:rsidRDefault="00FA3203" w:rsidP="00FA3203">
                            <w:pPr>
                              <w:pStyle w:val="Default"/>
                              <w:numPr>
                                <w:ilvl w:val="0"/>
                                <w:numId w:val="24"/>
                              </w:numPr>
                              <w:rPr>
                                <w:sz w:val="23"/>
                                <w:szCs w:val="23"/>
                              </w:rPr>
                            </w:pPr>
                            <w:r w:rsidRPr="00521238">
                              <w:rPr>
                                <w:sz w:val="23"/>
                                <w:szCs w:val="23"/>
                              </w:rPr>
                              <w:t xml:space="preserve">Prime +2% </w:t>
                            </w:r>
                            <w:r>
                              <w:rPr>
                                <w:sz w:val="23"/>
                                <w:szCs w:val="23"/>
                              </w:rPr>
                              <w:t xml:space="preserve">changed </w:t>
                            </w:r>
                            <w:r w:rsidRPr="00521238">
                              <w:rPr>
                                <w:sz w:val="23"/>
                                <w:szCs w:val="23"/>
                              </w:rPr>
                              <w:t xml:space="preserve">to Prime + </w:t>
                            </w:r>
                            <w:r>
                              <w:rPr>
                                <w:sz w:val="23"/>
                                <w:szCs w:val="23"/>
                              </w:rPr>
                              <w:t>plus the percentage in force under the DCA</w:t>
                            </w:r>
                          </w:p>
                          <w:p w14:paraId="7B42A79D" w14:textId="77777777" w:rsidR="00FA3203" w:rsidRDefault="00FA3203" w:rsidP="00FA3203">
                            <w:pPr>
                              <w:pStyle w:val="Default"/>
                              <w:numPr>
                                <w:ilvl w:val="0"/>
                                <w:numId w:val="24"/>
                              </w:numPr>
                              <w:rPr>
                                <w:sz w:val="23"/>
                                <w:szCs w:val="23"/>
                              </w:rPr>
                            </w:pPr>
                            <w:r w:rsidRPr="00FA3203">
                              <w:rPr>
                                <w:sz w:val="23"/>
                                <w:szCs w:val="23"/>
                              </w:rPr>
                              <w:t>Addition of language regarding the determination of the maximum interest rate</w:t>
                            </w:r>
                          </w:p>
                          <w:p w14:paraId="10EE6DBF" w14:textId="77777777" w:rsidR="00FA3203" w:rsidRDefault="00FA3203" w:rsidP="00FA3203">
                            <w:pPr>
                              <w:pStyle w:val="Default"/>
                              <w:numPr>
                                <w:ilvl w:val="0"/>
                                <w:numId w:val="24"/>
                              </w:numPr>
                              <w:rPr>
                                <w:sz w:val="23"/>
                                <w:szCs w:val="23"/>
                              </w:rPr>
                            </w:pPr>
                            <w:r w:rsidRPr="00FA3203">
                              <w:rPr>
                                <w:sz w:val="23"/>
                                <w:szCs w:val="23"/>
                              </w:rPr>
                              <w:t>Removal of Non-Profit housing development under DC Deferral as it is now fully exempt</w:t>
                            </w:r>
                          </w:p>
                          <w:p w14:paraId="41BCA75B" w14:textId="77777777" w:rsidR="00FA3203" w:rsidRDefault="00FA3203" w:rsidP="00FA3203">
                            <w:pPr>
                              <w:pStyle w:val="Default"/>
                              <w:numPr>
                                <w:ilvl w:val="0"/>
                                <w:numId w:val="24"/>
                              </w:numPr>
                              <w:rPr>
                                <w:sz w:val="23"/>
                                <w:szCs w:val="23"/>
                              </w:rPr>
                            </w:pPr>
                            <w:r w:rsidRPr="00FA3203">
                              <w:rPr>
                                <w:sz w:val="23"/>
                                <w:szCs w:val="23"/>
                              </w:rPr>
                              <w:t>Development Charge rate freeze timeframe reduced from two years to 18 months</w:t>
                            </w:r>
                          </w:p>
                          <w:p w14:paraId="708A7663" w14:textId="4016B222" w:rsidR="00FA3203" w:rsidRPr="00FA3203" w:rsidRDefault="00FA3203" w:rsidP="00FA3203">
                            <w:pPr>
                              <w:pStyle w:val="Default"/>
                              <w:numPr>
                                <w:ilvl w:val="0"/>
                                <w:numId w:val="24"/>
                              </w:numPr>
                              <w:rPr>
                                <w:sz w:val="23"/>
                                <w:szCs w:val="23"/>
                              </w:rPr>
                            </w:pPr>
                            <w:r w:rsidRPr="00FA3203">
                              <w:rPr>
                                <w:sz w:val="23"/>
                                <w:szCs w:val="23"/>
                              </w:rPr>
                              <w:t>Updated effective date from September 23, 2020 to October 23,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15063F" id="_x0000_t202" coordsize="21600,21600" o:spt="202" path="m,l,21600r21600,l21600,xe">
                <v:stroke joinstyle="miter"/>
                <v:path gradientshapeok="t" o:connecttype="rect"/>
              </v:shapetype>
              <v:shape id="Text Box 2" o:spid="_x0000_s1026" type="#_x0000_t202" style="position:absolute;left:0;text-align:left;margin-left:-3.75pt;margin-top:5.5pt;width:489pt;height:132.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" fillcolor="#d8d8d8 [2732]" stroked="f" strokeweight=".5pt">
                <v:textbox>
                  <w:txbxContent>
                    <w:p w14:paraId="6F5955D9" w14:textId="30F88A81" w:rsidR="00FA3203" w:rsidRPr="007528D7" w:rsidRDefault="00F66433" w:rsidP="007528D7">
                      <w:pPr>
                        <w:ind w:left="0"/>
                        <w:jc w:val="center"/>
                        <w:rPr>
                          <w:rFonts w:ascii="Arial" w:hAnsi="Arial" w:cs="Arial"/>
                          <w:b/>
                          <w:bCs/>
                          <w:sz w:val="24"/>
                          <w:szCs w:val="24"/>
                        </w:rPr>
                      </w:pPr>
                      <w:r w:rsidRPr="00F66433">
                        <w:rPr>
                          <w:rFonts w:ascii="Arial" w:hAnsi="Arial" w:cs="Arial"/>
                          <w:b/>
                          <w:bCs/>
                          <w:sz w:val="24"/>
                          <w:szCs w:val="24"/>
                        </w:rPr>
                        <w:t>Summary of Changes</w:t>
                      </w:r>
                      <w:r>
                        <w:rPr>
                          <w:rFonts w:ascii="Arial" w:hAnsi="Arial" w:cs="Arial"/>
                          <w:b/>
                          <w:bCs/>
                          <w:sz w:val="24"/>
                          <w:szCs w:val="24"/>
                        </w:rPr>
                        <w:t>:</w:t>
                      </w:r>
                    </w:p>
                    <w:p w14:paraId="7BB2A973" w14:textId="77777777" w:rsidR="00FA3203" w:rsidRDefault="00FA3203" w:rsidP="00FA3203">
                      <w:pPr>
                        <w:pStyle w:val="Default"/>
                        <w:numPr>
                          <w:ilvl w:val="0"/>
                          <w:numId w:val="24"/>
                        </w:numPr>
                        <w:rPr>
                          <w:sz w:val="23"/>
                          <w:szCs w:val="23"/>
                        </w:rPr>
                      </w:pPr>
                      <w:r w:rsidRPr="00521238">
                        <w:rPr>
                          <w:sz w:val="23"/>
                          <w:szCs w:val="23"/>
                        </w:rPr>
                        <w:t xml:space="preserve">Prime +2% </w:t>
                      </w:r>
                      <w:r>
                        <w:rPr>
                          <w:sz w:val="23"/>
                          <w:szCs w:val="23"/>
                        </w:rPr>
                        <w:t xml:space="preserve">changed </w:t>
                      </w:r>
                      <w:r w:rsidRPr="00521238">
                        <w:rPr>
                          <w:sz w:val="23"/>
                          <w:szCs w:val="23"/>
                        </w:rPr>
                        <w:t xml:space="preserve">to Prime + </w:t>
                      </w:r>
                      <w:r>
                        <w:rPr>
                          <w:sz w:val="23"/>
                          <w:szCs w:val="23"/>
                        </w:rPr>
                        <w:t>plus the percentage in force under the DCA</w:t>
                      </w:r>
                    </w:p>
                    <w:p w14:paraId="7B42A79D" w14:textId="77777777" w:rsidR="00FA3203" w:rsidRDefault="00FA3203" w:rsidP="00FA3203">
                      <w:pPr>
                        <w:pStyle w:val="Default"/>
                        <w:numPr>
                          <w:ilvl w:val="0"/>
                          <w:numId w:val="24"/>
                        </w:numPr>
                        <w:rPr>
                          <w:sz w:val="23"/>
                          <w:szCs w:val="23"/>
                        </w:rPr>
                      </w:pPr>
                      <w:r w:rsidRPr="00FA3203">
                        <w:rPr>
                          <w:sz w:val="23"/>
                          <w:szCs w:val="23"/>
                        </w:rPr>
                        <w:t>Addition of language regarding the determination of the maximum interest rate</w:t>
                      </w:r>
                    </w:p>
                    <w:p w14:paraId="10EE6DBF" w14:textId="77777777" w:rsidR="00FA3203" w:rsidRDefault="00FA3203" w:rsidP="00FA3203">
                      <w:pPr>
                        <w:pStyle w:val="Default"/>
                        <w:numPr>
                          <w:ilvl w:val="0"/>
                          <w:numId w:val="24"/>
                        </w:numPr>
                        <w:rPr>
                          <w:sz w:val="23"/>
                          <w:szCs w:val="23"/>
                        </w:rPr>
                      </w:pPr>
                      <w:r w:rsidRPr="00FA3203">
                        <w:rPr>
                          <w:sz w:val="23"/>
                          <w:szCs w:val="23"/>
                        </w:rPr>
                        <w:t>Removal of Non-Profit housing development under DC Deferral as it is now fully exempt</w:t>
                      </w:r>
                    </w:p>
                    <w:p w14:paraId="41BCA75B" w14:textId="77777777" w:rsidR="00FA3203" w:rsidRDefault="00FA3203" w:rsidP="00FA3203">
                      <w:pPr>
                        <w:pStyle w:val="Default"/>
                        <w:numPr>
                          <w:ilvl w:val="0"/>
                          <w:numId w:val="24"/>
                        </w:numPr>
                        <w:rPr>
                          <w:sz w:val="23"/>
                          <w:szCs w:val="23"/>
                        </w:rPr>
                      </w:pPr>
                      <w:r w:rsidRPr="00FA3203">
                        <w:rPr>
                          <w:sz w:val="23"/>
                          <w:szCs w:val="23"/>
                        </w:rPr>
                        <w:t>Development Charge rate freeze timeframe reduced from two years to 18 months</w:t>
                      </w:r>
                    </w:p>
                    <w:p w14:paraId="708A7663" w14:textId="4016B222" w:rsidR="00FA3203" w:rsidRPr="00FA3203" w:rsidRDefault="00FA3203" w:rsidP="00FA3203">
                      <w:pPr>
                        <w:pStyle w:val="Default"/>
                        <w:numPr>
                          <w:ilvl w:val="0"/>
                          <w:numId w:val="24"/>
                        </w:numPr>
                        <w:rPr>
                          <w:sz w:val="23"/>
                          <w:szCs w:val="23"/>
                        </w:rPr>
                      </w:pPr>
                      <w:r w:rsidRPr="00FA3203">
                        <w:rPr>
                          <w:sz w:val="23"/>
                          <w:szCs w:val="23"/>
                        </w:rPr>
                        <w:t>Updated effective date from September 23, 2020 to October 23, 2024</w:t>
                      </w:r>
                    </w:p>
                  </w:txbxContent>
                </v:textbox>
              </v:shape>
            </w:pict>
          </mc:Fallback>
        </mc:AlternateContent>
      </w:r>
    </w:p>
    <w:p w14:paraId="7E861039" w14:textId="77777777" w:rsidR="008078C3" w:rsidRDefault="008078C3" w:rsidP="00474433">
      <w:pPr>
        <w:tabs>
          <w:tab w:val="left" w:pos="2880"/>
          <w:tab w:val="left" w:pos="3544"/>
        </w:tabs>
        <w:spacing w:before="120" w:line="360" w:lineRule="auto"/>
        <w:ind w:left="0"/>
        <w:rPr>
          <w:rStyle w:val="Heading1Char"/>
        </w:rPr>
      </w:pPr>
    </w:p>
    <w:p w14:paraId="314D5031" w14:textId="77777777" w:rsidR="00FA3203" w:rsidRDefault="00FA3203" w:rsidP="00474433">
      <w:pPr>
        <w:tabs>
          <w:tab w:val="left" w:pos="2880"/>
          <w:tab w:val="left" w:pos="3544"/>
        </w:tabs>
        <w:spacing w:before="120" w:line="360" w:lineRule="auto"/>
        <w:ind w:left="0"/>
        <w:rPr>
          <w:rStyle w:val="Heading1Char"/>
        </w:rPr>
      </w:pPr>
    </w:p>
    <w:p w14:paraId="6AF23D55" w14:textId="77777777" w:rsidR="00FA3203" w:rsidRDefault="00FA3203" w:rsidP="00474433">
      <w:pPr>
        <w:tabs>
          <w:tab w:val="left" w:pos="2880"/>
          <w:tab w:val="left" w:pos="3544"/>
        </w:tabs>
        <w:spacing w:before="120" w:line="360" w:lineRule="auto"/>
        <w:ind w:left="0"/>
        <w:rPr>
          <w:rStyle w:val="Heading1Char"/>
        </w:rPr>
      </w:pPr>
    </w:p>
    <w:p w14:paraId="4CC18BC8" w14:textId="77777777" w:rsidR="002D5D73" w:rsidRDefault="002D5D73" w:rsidP="00474433">
      <w:pPr>
        <w:tabs>
          <w:tab w:val="left" w:pos="2880"/>
          <w:tab w:val="left" w:pos="3544"/>
        </w:tabs>
        <w:spacing w:before="120" w:line="360" w:lineRule="auto"/>
        <w:ind w:left="0"/>
        <w:rPr>
          <w:rStyle w:val="Heading1Char"/>
        </w:rPr>
      </w:pPr>
    </w:p>
    <w:p w14:paraId="2DA82A66" w14:textId="7F5075BB" w:rsidR="00EF44AA" w:rsidRPr="001A2BE3" w:rsidRDefault="00EF44AA" w:rsidP="00474433">
      <w:pPr>
        <w:tabs>
          <w:tab w:val="left" w:pos="2880"/>
          <w:tab w:val="left" w:pos="3544"/>
        </w:tabs>
        <w:spacing w:before="120" w:line="360" w:lineRule="auto"/>
        <w:ind w:left="0"/>
        <w:rPr>
          <w:rFonts w:ascii="Arial" w:hAnsi="Arial" w:cs="Arial"/>
          <w:b/>
          <w:sz w:val="28"/>
        </w:rPr>
      </w:pPr>
      <w:r w:rsidRPr="00BF6B30">
        <w:rPr>
          <w:rStyle w:val="Heading1Char"/>
        </w:rPr>
        <w:t>POLICY TITLE</w:t>
      </w:r>
      <w:r w:rsidR="00B43D9B">
        <w:rPr>
          <w:rFonts w:ascii="Arial" w:hAnsi="Arial" w:cs="Arial"/>
          <w:sz w:val="24"/>
          <w:szCs w:val="24"/>
        </w:rPr>
        <w:tab/>
      </w:r>
      <w:r w:rsidR="00FA3203">
        <w:rPr>
          <w:rFonts w:ascii="Arial" w:hAnsi="Arial" w:cs="Arial"/>
          <w:sz w:val="24"/>
          <w:szCs w:val="24"/>
        </w:rPr>
        <w:t>Development Charges Interest Policy</w:t>
      </w:r>
    </w:p>
    <w:p w14:paraId="276F4666" w14:textId="669CF8E2" w:rsidR="00EF44AA" w:rsidRPr="001B20E3" w:rsidRDefault="00EF44AA" w:rsidP="00474433">
      <w:pPr>
        <w:tabs>
          <w:tab w:val="left" w:pos="2835"/>
          <w:tab w:val="left" w:pos="3544"/>
        </w:tabs>
        <w:spacing w:before="120" w:line="360" w:lineRule="auto"/>
        <w:ind w:left="0"/>
        <w:rPr>
          <w:rFonts w:ascii="Arial" w:hAnsi="Arial" w:cs="Arial"/>
          <w:sz w:val="24"/>
          <w:szCs w:val="24"/>
        </w:rPr>
      </w:pPr>
      <w:r w:rsidRPr="00BF6B30">
        <w:rPr>
          <w:rStyle w:val="Heading1Char"/>
        </w:rPr>
        <w:t>CATEGORY</w:t>
      </w:r>
      <w:r w:rsidRPr="001B20E3">
        <w:rPr>
          <w:rFonts w:ascii="Arial" w:hAnsi="Arial" w:cs="Arial"/>
          <w:sz w:val="24"/>
          <w:szCs w:val="24"/>
        </w:rPr>
        <w:tab/>
      </w:r>
      <w:sdt>
        <w:sdtPr>
          <w:rPr>
            <w:rFonts w:ascii="Arial" w:hAnsi="Arial" w:cs="Arial"/>
            <w:sz w:val="24"/>
            <w:szCs w:val="24"/>
          </w:rPr>
          <w:alias w:val="Category"/>
          <w:tag w:val="Select Category"/>
          <w:id w:val="-124397747"/>
          <w:placeholder>
            <w:docPart w:val="63B792F915D447B4A8C2152484A95773"/>
          </w:placeholder>
          <w:comboBox>
            <w:listItem w:value="Choose an item."/>
            <w:listItem w:displayText="Administration" w:value="Administration"/>
            <w:listItem w:displayText="Financial" w:value="Financial"/>
            <w:listItem w:displayText="Governance" w:value="Governance"/>
            <w:listItem w:displayText="Human Resources" w:value="Human Resources"/>
            <w:listItem w:displayText="Municipal Services" w:value="Municipal Services"/>
          </w:comboBox>
        </w:sdtPr>
        <w:sdtEndPr/>
        <w:sdtContent>
          <w:r w:rsidR="00FA3203">
            <w:rPr>
              <w:rFonts w:ascii="Arial" w:hAnsi="Arial" w:cs="Arial"/>
              <w:sz w:val="24"/>
              <w:szCs w:val="24"/>
            </w:rPr>
            <w:t>Financial</w:t>
          </w:r>
        </w:sdtContent>
      </w:sdt>
    </w:p>
    <w:p w14:paraId="72EC8B7F" w14:textId="20101B7B" w:rsidR="00EF44AA" w:rsidRPr="00604F07" w:rsidRDefault="00EF44AA" w:rsidP="00474433">
      <w:pPr>
        <w:tabs>
          <w:tab w:val="left" w:pos="3544"/>
        </w:tabs>
        <w:spacing w:before="120" w:line="360" w:lineRule="auto"/>
        <w:ind w:left="2835" w:hanging="2835"/>
        <w:rPr>
          <w:rFonts w:ascii="Arial" w:hAnsi="Arial" w:cs="Arial"/>
          <w:sz w:val="24"/>
          <w:szCs w:val="24"/>
        </w:rPr>
      </w:pPr>
      <w:r w:rsidRPr="00BF6B30">
        <w:rPr>
          <w:rStyle w:val="Heading1Char"/>
        </w:rPr>
        <w:t>POLICY NUMBER</w:t>
      </w:r>
      <w:r w:rsidRPr="001B20E3">
        <w:rPr>
          <w:rFonts w:ascii="Arial" w:hAnsi="Arial" w:cs="Arial"/>
          <w:sz w:val="24"/>
          <w:szCs w:val="24"/>
        </w:rPr>
        <w:tab/>
      </w:r>
      <w:r w:rsidR="00FA3203">
        <w:rPr>
          <w:rFonts w:ascii="Arial" w:hAnsi="Arial" w:cs="Arial"/>
          <w:sz w:val="24"/>
          <w:szCs w:val="24"/>
        </w:rPr>
        <w:t>A09 FIN 003</w:t>
      </w:r>
    </w:p>
    <w:p w14:paraId="77B07C2C" w14:textId="4E3B52F0" w:rsidR="00EF44AA" w:rsidRPr="00BF39D8" w:rsidRDefault="00EF44AA" w:rsidP="00474433">
      <w:pPr>
        <w:tabs>
          <w:tab w:val="left" w:pos="2835"/>
          <w:tab w:val="left" w:pos="3544"/>
        </w:tabs>
        <w:spacing w:before="120" w:line="360" w:lineRule="auto"/>
        <w:ind w:left="0"/>
        <w:rPr>
          <w:rFonts w:ascii="Arial" w:hAnsi="Arial" w:cs="Arial"/>
          <w:sz w:val="24"/>
          <w:szCs w:val="24"/>
        </w:rPr>
      </w:pPr>
      <w:r w:rsidRPr="00BF6B30">
        <w:rPr>
          <w:rStyle w:val="Heading1Char"/>
        </w:rPr>
        <w:t>DEPARTMENT</w:t>
      </w:r>
      <w:r w:rsidRPr="00BF39D8">
        <w:rPr>
          <w:rFonts w:ascii="Arial" w:hAnsi="Arial" w:cs="Arial"/>
          <w:sz w:val="24"/>
          <w:szCs w:val="24"/>
        </w:rPr>
        <w:tab/>
      </w:r>
      <w:sdt>
        <w:sdtPr>
          <w:rPr>
            <w:rFonts w:ascii="Arial" w:hAnsi="Arial" w:cs="Arial"/>
            <w:sz w:val="24"/>
            <w:szCs w:val="24"/>
          </w:rPr>
          <w:alias w:val="Department List"/>
          <w:tag w:val="Select Department"/>
          <w:id w:val="-203943414"/>
          <w:placeholder>
            <w:docPart w:val="5B5F386349EA46A5B0AEBDA972D02C17"/>
          </w:placeholder>
          <w:dropDownList>
            <w:listItem w:value="Choose an item."/>
            <w:listItem w:displayText="Community Development" w:value="Community Development"/>
            <w:listItem w:displayText="Corporate Services" w:value="Corporate Services"/>
            <w:listItem w:displayText="Corporate Enterprise" w:value="Corporate Enterprise"/>
          </w:dropDownList>
        </w:sdtPr>
        <w:sdtEndPr>
          <w:rPr>
            <w:rStyle w:val="Strong"/>
          </w:rPr>
        </w:sdtEndPr>
        <w:sdtContent>
          <w:r w:rsidR="00FA3203">
            <w:rPr>
              <w:rFonts w:ascii="Arial" w:hAnsi="Arial" w:cs="Arial"/>
              <w:sz w:val="24"/>
              <w:szCs w:val="24"/>
            </w:rPr>
            <w:t>Corporate Services</w:t>
          </w:r>
        </w:sdtContent>
      </w:sdt>
      <w:r w:rsidRPr="00BF39D8">
        <w:rPr>
          <w:rFonts w:ascii="Arial" w:hAnsi="Arial" w:cs="Arial"/>
          <w:sz w:val="24"/>
          <w:szCs w:val="24"/>
        </w:rPr>
        <w:t xml:space="preserve"> </w:t>
      </w:r>
    </w:p>
    <w:p w14:paraId="489899B2" w14:textId="245CC5A5" w:rsidR="00EF44AA" w:rsidRPr="001B20E3" w:rsidRDefault="00EF44AA" w:rsidP="00474433">
      <w:pPr>
        <w:tabs>
          <w:tab w:val="left" w:pos="2835"/>
          <w:tab w:val="left" w:pos="3544"/>
        </w:tabs>
        <w:spacing w:before="120" w:line="360" w:lineRule="auto"/>
        <w:ind w:left="0"/>
        <w:rPr>
          <w:rFonts w:ascii="Arial" w:hAnsi="Arial" w:cs="Arial"/>
          <w:sz w:val="24"/>
          <w:szCs w:val="24"/>
        </w:rPr>
      </w:pPr>
      <w:r w:rsidRPr="00BF6B30">
        <w:rPr>
          <w:rStyle w:val="Heading1Char"/>
        </w:rPr>
        <w:t>POLICY AUTHOR</w:t>
      </w:r>
      <w:r w:rsidRPr="001B20E3">
        <w:rPr>
          <w:rFonts w:ascii="Arial" w:hAnsi="Arial" w:cs="Arial"/>
          <w:sz w:val="24"/>
          <w:szCs w:val="24"/>
        </w:rPr>
        <w:tab/>
      </w:r>
      <w:sdt>
        <w:sdtPr>
          <w:rPr>
            <w:rFonts w:ascii="Arial" w:hAnsi="Arial" w:cs="Arial"/>
            <w:sz w:val="24"/>
            <w:szCs w:val="24"/>
          </w:rPr>
          <w:alias w:val="Division"/>
          <w:tag w:val="Select Division"/>
          <w:id w:val="1193965328"/>
          <w:placeholder>
            <w:docPart w:val="9BD96CD4AFEE49FF847C900722EB10FE"/>
          </w:placeholder>
          <w:comboBox>
            <w:listItem w:value="Choose an item."/>
            <w:listItem w:displayText="Administration" w:value="Administration"/>
            <w:listItem w:displayText="Asset Management and Project Management" w:value="Asset Management and Project Management"/>
            <w:listItem w:displayText="Building and By-Law Services" w:value="Building and By-Law Services"/>
            <w:listItem w:displayText="City Clerk" w:value="City Clerk"/>
            <w:listItem w:displayText="Corporate Communications" w:value="Corporate Communications"/>
            <w:listItem w:displayText="Corporate Strategy" w:value="Corporate Strategy"/>
            <w:listItem w:displayText="Economic Development" w:value="Economic Development"/>
            <w:listItem w:displayText="Engineering and Transportation Services" w:value="Engineering and Transportation Services"/>
            <w:listItem w:displayText="Financial Services" w:value="Financial Services"/>
            <w:listItem w:displayText="Fire Services" w:value="Fire Services"/>
            <w:listItem w:displayText="Human Resources" w:value="Human Resources"/>
            <w:listItem w:displayText="Internal Audit" w:value="Internal Audit"/>
            <w:listItem w:displayText="Legal Services" w:value="Legal Services"/>
            <w:listItem w:displayText="Parks, Recreation and Culture" w:value="Parks, Recreation and Culture"/>
            <w:listItem w:displayText="Planning Services" w:value="Planning Services"/>
            <w:listItem w:displayText="Public Works" w:value="Public Works"/>
            <w:listItem w:displayText="Realty Services" w:value="Realty Services"/>
            <w:listItem w:displayText="Service Cambridge" w:value="Service Cambridge"/>
            <w:listItem w:displayText="Technology Services" w:value="Technology Services"/>
          </w:comboBox>
        </w:sdtPr>
        <w:sdtEndPr/>
        <w:sdtContent>
          <w:r w:rsidR="00FA3203">
            <w:rPr>
              <w:rFonts w:ascii="Arial" w:hAnsi="Arial" w:cs="Arial"/>
              <w:sz w:val="24"/>
              <w:szCs w:val="24"/>
            </w:rPr>
            <w:t>Financial Services</w:t>
          </w:r>
        </w:sdtContent>
      </w:sdt>
    </w:p>
    <w:p w14:paraId="77D9396D" w14:textId="0BD798C9" w:rsidR="006C0E9A" w:rsidRPr="005762BE" w:rsidRDefault="006C0E9A" w:rsidP="00474433">
      <w:pPr>
        <w:tabs>
          <w:tab w:val="left" w:pos="2835"/>
          <w:tab w:val="left" w:pos="3544"/>
        </w:tabs>
        <w:spacing w:before="120" w:line="360" w:lineRule="auto"/>
        <w:ind w:left="0"/>
        <w:rPr>
          <w:rFonts w:ascii="Arial" w:hAnsi="Arial" w:cs="Arial"/>
          <w:sz w:val="24"/>
          <w:szCs w:val="24"/>
        </w:rPr>
      </w:pPr>
      <w:r w:rsidRPr="00BF6B30">
        <w:rPr>
          <w:rStyle w:val="Heading1Char"/>
        </w:rPr>
        <w:t>POLICY TYPE</w:t>
      </w:r>
      <w:r w:rsidRPr="005762BE">
        <w:rPr>
          <w:rFonts w:ascii="Arial" w:hAnsi="Arial" w:cs="Arial"/>
          <w:sz w:val="24"/>
          <w:szCs w:val="24"/>
        </w:rPr>
        <w:tab/>
      </w:r>
      <w:sdt>
        <w:sdtPr>
          <w:rPr>
            <w:rFonts w:ascii="Arial" w:hAnsi="Arial" w:cs="Arial"/>
            <w:sz w:val="24"/>
            <w:szCs w:val="24"/>
          </w:rPr>
          <w:alias w:val="Policy Type"/>
          <w:tag w:val="Select Authority"/>
          <w:id w:val="-489491092"/>
          <w:placeholder>
            <w:docPart w:val="2EC938C694DF49F9976970CA4AC223FE"/>
          </w:placeholder>
          <w:comboBox>
            <w:listItem w:value="Choose an item."/>
            <w:listItem w:displayText="City Policy" w:value="City Policy"/>
          </w:comboBox>
        </w:sdtPr>
        <w:sdtEndPr/>
        <w:sdtContent>
          <w:r w:rsidR="00FA3203">
            <w:rPr>
              <w:rFonts w:ascii="Arial" w:hAnsi="Arial" w:cs="Arial"/>
              <w:sz w:val="24"/>
              <w:szCs w:val="24"/>
            </w:rPr>
            <w:t>City Policy</w:t>
          </w:r>
        </w:sdtContent>
      </w:sdt>
    </w:p>
    <w:p w14:paraId="2835DDBE" w14:textId="377797DB" w:rsidR="00EF44AA" w:rsidRPr="005762BE" w:rsidRDefault="00EF44AA" w:rsidP="00474433">
      <w:pPr>
        <w:tabs>
          <w:tab w:val="left" w:pos="2835"/>
          <w:tab w:val="left" w:pos="3544"/>
        </w:tabs>
        <w:spacing w:before="120" w:line="360" w:lineRule="auto"/>
        <w:ind w:left="0"/>
        <w:rPr>
          <w:rFonts w:ascii="Arial" w:hAnsi="Arial" w:cs="Arial"/>
          <w:sz w:val="24"/>
          <w:szCs w:val="24"/>
        </w:rPr>
      </w:pPr>
      <w:r w:rsidRPr="00BF6B30">
        <w:rPr>
          <w:rStyle w:val="Heading1Char"/>
        </w:rPr>
        <w:t>APPROVED BY</w:t>
      </w:r>
      <w:r w:rsidRPr="00574BC4">
        <w:rPr>
          <w:rFonts w:ascii="Arial" w:hAnsi="Arial" w:cs="Arial"/>
          <w:sz w:val="24"/>
          <w:szCs w:val="24"/>
        </w:rPr>
        <w:tab/>
      </w:r>
      <w:sdt>
        <w:sdtPr>
          <w:rPr>
            <w:rFonts w:ascii="Arial" w:hAnsi="Arial" w:cs="Arial"/>
            <w:sz w:val="24"/>
            <w:szCs w:val="24"/>
          </w:rPr>
          <w:alias w:val="Approved by"/>
          <w:tag w:val="Select Approval Body"/>
          <w:id w:val="2142387735"/>
          <w:placeholder>
            <w:docPart w:val="A76CC134A3D443F0B2D03BCF2A4E279D"/>
          </w:placeholder>
          <w:comboBox>
            <w:listItem w:value="Choose an item."/>
            <w:listItem w:displayText="City Council" w:value="City Council"/>
          </w:comboBox>
        </w:sdtPr>
        <w:sdtEndPr/>
        <w:sdtContent>
          <w:r w:rsidR="00FA3203">
            <w:rPr>
              <w:rFonts w:ascii="Arial" w:hAnsi="Arial" w:cs="Arial"/>
              <w:sz w:val="24"/>
              <w:szCs w:val="24"/>
            </w:rPr>
            <w:t>City Council</w:t>
          </w:r>
        </w:sdtContent>
      </w:sdt>
    </w:p>
    <w:p w14:paraId="35887E0B" w14:textId="676C6869" w:rsidR="00EF44AA" w:rsidRPr="00D24AE2" w:rsidRDefault="00EF44AA" w:rsidP="00474433">
      <w:pPr>
        <w:tabs>
          <w:tab w:val="left" w:pos="3544"/>
        </w:tabs>
        <w:spacing w:before="120" w:line="360" w:lineRule="auto"/>
        <w:ind w:left="0"/>
        <w:rPr>
          <w:rFonts w:ascii="Arial" w:hAnsi="Arial" w:cs="Arial"/>
          <w:sz w:val="24"/>
          <w:szCs w:val="24"/>
        </w:rPr>
      </w:pPr>
      <w:r w:rsidRPr="00D24AE2">
        <w:rPr>
          <w:rStyle w:val="Heading1Char"/>
        </w:rPr>
        <w:t>EFFECTIVE DATE</w:t>
      </w:r>
      <w:r w:rsidRPr="00D24AE2">
        <w:rPr>
          <w:rFonts w:ascii="Arial" w:hAnsi="Arial" w:cs="Arial"/>
          <w:sz w:val="24"/>
          <w:szCs w:val="24"/>
        </w:rPr>
        <w:t xml:space="preserve">       </w:t>
      </w:r>
      <w:r w:rsidR="00FA3203">
        <w:rPr>
          <w:rFonts w:ascii="Arial" w:hAnsi="Arial" w:cs="Arial"/>
          <w:sz w:val="24"/>
          <w:szCs w:val="24"/>
        </w:rPr>
        <w:t>10/23/24</w:t>
      </w:r>
    </w:p>
    <w:p w14:paraId="5058326E" w14:textId="5ACBF56A" w:rsidR="00EF44AA" w:rsidRPr="00E4602A" w:rsidRDefault="00EF44AA" w:rsidP="00A16AD0">
      <w:pPr>
        <w:pBdr>
          <w:bottom w:val="single" w:sz="4" w:space="1" w:color="auto"/>
        </w:pBdr>
        <w:tabs>
          <w:tab w:val="left" w:pos="2835"/>
          <w:tab w:val="left" w:pos="3544"/>
        </w:tabs>
        <w:spacing w:before="120" w:line="240" w:lineRule="auto"/>
        <w:ind w:left="2832" w:hanging="2832"/>
        <w:jc w:val="left"/>
        <w:rPr>
          <w:rFonts w:ascii="Arial" w:hAnsi="Arial" w:cs="Arial"/>
          <w:sz w:val="24"/>
          <w:szCs w:val="24"/>
        </w:rPr>
      </w:pPr>
      <w:r w:rsidRPr="00D24AE2">
        <w:rPr>
          <w:rStyle w:val="Heading1Char"/>
        </w:rPr>
        <w:t>REVIEW DATE</w:t>
      </w:r>
      <w:r w:rsidRPr="00D24AE2">
        <w:rPr>
          <w:rFonts w:ascii="Arial" w:hAnsi="Arial" w:cs="Arial"/>
          <w:sz w:val="24"/>
          <w:szCs w:val="24"/>
        </w:rPr>
        <w:tab/>
      </w:r>
      <w:r w:rsidR="00FA3203" w:rsidRPr="00FA3203">
        <w:rPr>
          <w:rFonts w:ascii="Arial" w:hAnsi="Arial" w:cs="Arial"/>
          <w:sz w:val="24"/>
          <w:szCs w:val="24"/>
        </w:rPr>
        <w:t>To be reviewed in conjunction with updates to the City’s Development Charges Bylaw</w:t>
      </w:r>
    </w:p>
    <w:p w14:paraId="23DB736C" w14:textId="7A5897D8" w:rsidR="00B20DFF" w:rsidRPr="005F772A" w:rsidRDefault="008A4C43" w:rsidP="005F772A">
      <w:pPr>
        <w:pStyle w:val="Heading1"/>
        <w:tabs>
          <w:tab w:val="left" w:pos="3544"/>
        </w:tabs>
        <w:spacing w:before="240" w:after="200" w:line="240" w:lineRule="auto"/>
        <w:jc w:val="left"/>
      </w:pPr>
      <w:r w:rsidRPr="00F84526">
        <w:t>POLICY STATEMENT</w:t>
      </w:r>
    </w:p>
    <w:p w14:paraId="73B9F934" w14:textId="6E72DAF6" w:rsidR="007F2736" w:rsidRPr="00A16AD0" w:rsidRDefault="00FA3203" w:rsidP="00A16AD0">
      <w:pPr>
        <w:pStyle w:val="Default"/>
        <w:spacing w:before="120" w:after="200" w:line="276" w:lineRule="auto"/>
        <w:ind w:right="130"/>
        <w:rPr>
          <w:color w:val="auto"/>
        </w:rPr>
      </w:pPr>
      <w:r w:rsidRPr="00FA3203">
        <w:rPr>
          <w:color w:val="auto"/>
        </w:rPr>
        <w:t>This policy establishes a financial framework governing the charging of interest, as permitted under sections 26.1 and 26.2 of the Development Charges Act (D.C.A). This supports the City’s strategic goal of focusing on the responsible management of financial resources, ensuring transparency and accountability.</w:t>
      </w:r>
    </w:p>
    <w:p w14:paraId="05BF42F6" w14:textId="4F5E679E" w:rsidR="008A4C43" w:rsidRPr="00F84526" w:rsidRDefault="008A4C43" w:rsidP="004166A9">
      <w:pPr>
        <w:pStyle w:val="Heading1"/>
        <w:tabs>
          <w:tab w:val="left" w:pos="3544"/>
        </w:tabs>
        <w:spacing w:before="0" w:line="240" w:lineRule="auto"/>
        <w:contextualSpacing/>
        <w:jc w:val="left"/>
      </w:pPr>
      <w:r w:rsidRPr="00F84526">
        <w:t>PURPOSE</w:t>
      </w:r>
    </w:p>
    <w:p w14:paraId="61083C7A" w14:textId="77777777" w:rsidR="00FA3203" w:rsidRPr="00FA3203" w:rsidRDefault="00FA3203" w:rsidP="00A16AD0">
      <w:pPr>
        <w:pStyle w:val="Default"/>
        <w:spacing w:before="120" w:after="200" w:line="276" w:lineRule="auto"/>
        <w:ind w:right="130"/>
        <w:rPr>
          <w:color w:val="auto"/>
        </w:rPr>
      </w:pPr>
      <w:r w:rsidRPr="00FA3203">
        <w:rPr>
          <w:color w:val="auto"/>
        </w:rPr>
        <w:t xml:space="preserve">The purpose of this policy is to establish the rules and procedures for the City of Cambridge to enter into an agreement with a developer to charge interest on certain types of developments, as permitted under sections 26.1 and 26.2 of the Development Charges Act. This policy also establishes the process whereby a developer could elect to opt out of incurring interest charges. </w:t>
      </w:r>
    </w:p>
    <w:p w14:paraId="2B5FB24B" w14:textId="57EAD02D" w:rsidR="007F2736" w:rsidRDefault="008A4C43" w:rsidP="00B90576">
      <w:pPr>
        <w:pStyle w:val="Heading1"/>
        <w:tabs>
          <w:tab w:val="left" w:pos="3544"/>
        </w:tabs>
        <w:spacing w:before="0" w:line="240" w:lineRule="auto"/>
        <w:contextualSpacing/>
        <w:jc w:val="left"/>
      </w:pPr>
      <w:r w:rsidRPr="00F84526">
        <w:lastRenderedPageBreak/>
        <w:t>DEFINITIONS</w:t>
      </w:r>
    </w:p>
    <w:p w14:paraId="05CC41A2" w14:textId="77777777" w:rsidR="00FA3203" w:rsidRPr="00FA3203" w:rsidRDefault="00FA3203" w:rsidP="00A16AD0">
      <w:pPr>
        <w:pStyle w:val="Default"/>
        <w:spacing w:before="120" w:after="200" w:line="276" w:lineRule="auto"/>
        <w:ind w:right="130"/>
        <w:rPr>
          <w:color w:val="auto"/>
        </w:rPr>
      </w:pPr>
      <w:r w:rsidRPr="00FA3203">
        <w:rPr>
          <w:b/>
          <w:bCs/>
          <w:color w:val="auto"/>
        </w:rPr>
        <w:t xml:space="preserve">Adjustment Date: </w:t>
      </w:r>
      <w:r w:rsidRPr="00FA3203">
        <w:rPr>
          <w:color w:val="auto"/>
        </w:rPr>
        <w:t>The date used to determine the average prime rate to apply the interest on development charges. As per Section 26.3 of the DCA, the base rate of interest shall be determined for April 1, 2022 and for each adjustment date after April 1, 2022, and shall be equal to the average prime rate on,</w:t>
      </w:r>
    </w:p>
    <w:p w14:paraId="07FE9695" w14:textId="77777777" w:rsidR="00FA3203" w:rsidRPr="00FA3203" w:rsidRDefault="00FA3203" w:rsidP="00A16AD0">
      <w:pPr>
        <w:pStyle w:val="Default"/>
        <w:numPr>
          <w:ilvl w:val="0"/>
          <w:numId w:val="26"/>
        </w:numPr>
        <w:spacing w:before="200" w:after="120"/>
        <w:jc w:val="both"/>
        <w:rPr>
          <w:color w:val="auto"/>
        </w:rPr>
      </w:pPr>
      <w:r w:rsidRPr="00FA3203">
        <w:rPr>
          <w:color w:val="auto"/>
        </w:rPr>
        <w:t>October 15 of the previous year, if the adjustment date is January 1,</w:t>
      </w:r>
    </w:p>
    <w:p w14:paraId="4CE3847B" w14:textId="77777777" w:rsidR="00FA3203" w:rsidRPr="00FA3203" w:rsidRDefault="00FA3203" w:rsidP="00A16AD0">
      <w:pPr>
        <w:pStyle w:val="Default"/>
        <w:numPr>
          <w:ilvl w:val="0"/>
          <w:numId w:val="26"/>
        </w:numPr>
        <w:spacing w:before="200" w:after="120"/>
        <w:jc w:val="both"/>
        <w:rPr>
          <w:color w:val="auto"/>
        </w:rPr>
      </w:pPr>
      <w:r w:rsidRPr="00FA3203">
        <w:rPr>
          <w:color w:val="auto"/>
        </w:rPr>
        <w:t>January 15 of the same year, if the adjustment date is April 1,</w:t>
      </w:r>
    </w:p>
    <w:p w14:paraId="4F5E3EEB" w14:textId="77777777" w:rsidR="00FA3203" w:rsidRPr="00FA3203" w:rsidRDefault="00FA3203" w:rsidP="00FA3203">
      <w:pPr>
        <w:pStyle w:val="Default"/>
        <w:numPr>
          <w:ilvl w:val="0"/>
          <w:numId w:val="26"/>
        </w:numPr>
        <w:spacing w:before="200"/>
        <w:jc w:val="both"/>
        <w:rPr>
          <w:color w:val="auto"/>
        </w:rPr>
      </w:pPr>
      <w:r w:rsidRPr="00FA3203">
        <w:rPr>
          <w:color w:val="auto"/>
        </w:rPr>
        <w:t>April 15 of the same year, if the adjustment date is July 1, and</w:t>
      </w:r>
    </w:p>
    <w:p w14:paraId="6DA0AE36" w14:textId="77777777" w:rsidR="00FA3203" w:rsidRPr="00FA3203" w:rsidRDefault="00FA3203" w:rsidP="00A16AD0">
      <w:pPr>
        <w:pStyle w:val="Default"/>
        <w:numPr>
          <w:ilvl w:val="0"/>
          <w:numId w:val="26"/>
        </w:numPr>
        <w:spacing w:before="200" w:after="200"/>
        <w:jc w:val="both"/>
        <w:rPr>
          <w:color w:val="auto"/>
        </w:rPr>
      </w:pPr>
      <w:r w:rsidRPr="00FA3203">
        <w:rPr>
          <w:color w:val="auto"/>
        </w:rPr>
        <w:t>July 15 of the same year, if the adjustment date is October 1.</w:t>
      </w:r>
    </w:p>
    <w:p w14:paraId="48483C96" w14:textId="77777777" w:rsidR="00FA3203" w:rsidRPr="00FA3203" w:rsidRDefault="00FA3203" w:rsidP="00A16AD0">
      <w:pPr>
        <w:pStyle w:val="Default"/>
        <w:spacing w:before="120" w:after="200" w:line="276" w:lineRule="auto"/>
        <w:ind w:right="130"/>
        <w:rPr>
          <w:color w:val="auto"/>
        </w:rPr>
      </w:pPr>
      <w:r w:rsidRPr="00FA3203">
        <w:rPr>
          <w:b/>
          <w:bCs/>
          <w:color w:val="auto"/>
        </w:rPr>
        <w:t>Agreement</w:t>
      </w:r>
      <w:r w:rsidRPr="00FA3203">
        <w:rPr>
          <w:color w:val="auto"/>
        </w:rPr>
        <w:t xml:space="preserve">: A legally binding arrangement between a developer and the City as to DC payment terms that differ from what is permitted in the DCA, as allowed under Section 27 of the DCA. </w:t>
      </w:r>
    </w:p>
    <w:p w14:paraId="164920C9" w14:textId="77777777" w:rsidR="00FA3203" w:rsidRPr="00FA3203" w:rsidRDefault="00FA3203" w:rsidP="00A16AD0">
      <w:pPr>
        <w:pStyle w:val="Default"/>
        <w:spacing w:before="120" w:after="200" w:line="276" w:lineRule="auto"/>
        <w:ind w:right="130"/>
        <w:rPr>
          <w:color w:val="auto"/>
        </w:rPr>
      </w:pPr>
      <w:r w:rsidRPr="00FA3203">
        <w:rPr>
          <w:b/>
          <w:bCs/>
          <w:color w:val="auto"/>
        </w:rPr>
        <w:t xml:space="preserve">Average Prime Rate: </w:t>
      </w:r>
      <w:r w:rsidRPr="00FA3203">
        <w:rPr>
          <w:color w:val="auto"/>
        </w:rPr>
        <w:t>The average rate on a particular date, announced by each of the Royal Bank of Canada, The Bank of Nova Scotia, the Canadian Imperial Bank of Commerce, the Bank of Montreal and The Toronto-Dominion Bank to be its prime rate of interest in effect on that date.</w:t>
      </w:r>
    </w:p>
    <w:p w14:paraId="0E7B6DC7" w14:textId="77777777" w:rsidR="00FA3203" w:rsidRPr="00FA3203" w:rsidRDefault="00FA3203" w:rsidP="00A16AD0">
      <w:pPr>
        <w:pStyle w:val="Default"/>
        <w:spacing w:before="120" w:after="200" w:line="276" w:lineRule="auto"/>
        <w:ind w:right="130"/>
        <w:rPr>
          <w:color w:val="auto"/>
        </w:rPr>
      </w:pPr>
      <w:r w:rsidRPr="00FA3203">
        <w:rPr>
          <w:b/>
          <w:bCs/>
          <w:color w:val="auto"/>
        </w:rPr>
        <w:t xml:space="preserve">Complete Applications: </w:t>
      </w:r>
      <w:r w:rsidRPr="00FA3203">
        <w:rPr>
          <w:color w:val="auto"/>
        </w:rPr>
        <w:t xml:space="preserve">Pursuant to Section 26.2 of the DCA, the City considers an application of a Site Plan, under Section 41 of the Planning Act, R.S.O 1990 c.P13 or Zoning Amendment under Section 34 of the Planning Act, R.S.O 1990 c.P13 to be made as of the date that the submitted application is deemed to be complete according to the City’s Planning staff. </w:t>
      </w:r>
    </w:p>
    <w:p w14:paraId="302F2BF5" w14:textId="77777777" w:rsidR="00FA3203" w:rsidRPr="00FA3203" w:rsidRDefault="00FA3203" w:rsidP="00A16AD0">
      <w:pPr>
        <w:pStyle w:val="Default"/>
        <w:spacing w:before="120" w:after="200" w:line="276" w:lineRule="auto"/>
        <w:ind w:right="130"/>
        <w:rPr>
          <w:color w:val="auto"/>
        </w:rPr>
      </w:pPr>
      <w:r w:rsidRPr="00FA3203">
        <w:rPr>
          <w:b/>
          <w:bCs/>
          <w:color w:val="auto"/>
        </w:rPr>
        <w:t xml:space="preserve">DC: </w:t>
      </w:r>
      <w:r w:rsidRPr="00FA3203">
        <w:rPr>
          <w:color w:val="auto"/>
        </w:rPr>
        <w:t xml:space="preserve">Development Charges imposed by Council approved bylaw for charges against land to pay for increased capital costs required due to increased services arising from development of the area to which the bylaw applies. </w:t>
      </w:r>
    </w:p>
    <w:p w14:paraId="1CB6267B" w14:textId="77777777" w:rsidR="00FA3203" w:rsidRPr="00FA3203" w:rsidRDefault="00FA3203" w:rsidP="00A16AD0">
      <w:pPr>
        <w:pStyle w:val="Default"/>
        <w:spacing w:before="120" w:after="200" w:line="276" w:lineRule="auto"/>
        <w:ind w:right="130"/>
        <w:rPr>
          <w:color w:val="auto"/>
        </w:rPr>
      </w:pPr>
      <w:r w:rsidRPr="00FA3203">
        <w:rPr>
          <w:b/>
          <w:bCs/>
          <w:color w:val="auto"/>
        </w:rPr>
        <w:t>Development</w:t>
      </w:r>
      <w:r w:rsidRPr="00FA3203">
        <w:rPr>
          <w:color w:val="auto"/>
        </w:rPr>
        <w:t xml:space="preserve">: The construction, erection or placing of one or more buildings or structures on land or the making of an addition or alteration to a building or structure that has the effect of increasing the size or usability thereof according to one or more of the actions referred to in subsection 2(2) of the Development Charges Act, and includes redevelopment. </w:t>
      </w:r>
    </w:p>
    <w:p w14:paraId="12EEF34F" w14:textId="77777777" w:rsidR="00FA3203" w:rsidRPr="00FA3203" w:rsidRDefault="00FA3203" w:rsidP="00A16AD0">
      <w:pPr>
        <w:pStyle w:val="Default"/>
        <w:spacing w:before="120" w:after="200" w:line="276" w:lineRule="auto"/>
        <w:ind w:right="130"/>
        <w:rPr>
          <w:color w:val="auto"/>
        </w:rPr>
      </w:pPr>
      <w:r w:rsidRPr="00FA3203">
        <w:rPr>
          <w:b/>
          <w:bCs/>
          <w:color w:val="auto"/>
        </w:rPr>
        <w:t>Development Charges Act (DCA)</w:t>
      </w:r>
      <w:r w:rsidRPr="00FA3203">
        <w:rPr>
          <w:color w:val="auto"/>
        </w:rPr>
        <w:t xml:space="preserve">: The Development Charges Act S.O. 1997, c. 27, as amended and all regulations thereto. </w:t>
      </w:r>
    </w:p>
    <w:p w14:paraId="73F8E122" w14:textId="77777777" w:rsidR="00FA3203" w:rsidRPr="00FA3203" w:rsidRDefault="00FA3203" w:rsidP="00A16AD0">
      <w:pPr>
        <w:pStyle w:val="Default"/>
        <w:spacing w:before="120" w:after="200" w:line="276" w:lineRule="auto"/>
        <w:ind w:right="130"/>
        <w:rPr>
          <w:color w:val="auto"/>
        </w:rPr>
      </w:pPr>
      <w:r w:rsidRPr="00FA3203">
        <w:rPr>
          <w:b/>
          <w:bCs/>
          <w:color w:val="auto"/>
        </w:rPr>
        <w:t>Development Charge Deferral</w:t>
      </w:r>
      <w:r w:rsidRPr="00FA3203">
        <w:rPr>
          <w:color w:val="auto"/>
        </w:rPr>
        <w:t xml:space="preserve">: The ability for qualifying developments to spread their DCs over multiple annual installment payments as defined in Section 26.1 of the DCA. </w:t>
      </w:r>
    </w:p>
    <w:p w14:paraId="2DE1C179" w14:textId="77777777" w:rsidR="00FA3203" w:rsidRPr="00FA3203" w:rsidRDefault="00FA3203" w:rsidP="00A16AD0">
      <w:pPr>
        <w:pStyle w:val="Default"/>
        <w:spacing w:before="120" w:after="200" w:line="276" w:lineRule="auto"/>
        <w:ind w:right="130"/>
        <w:rPr>
          <w:color w:val="auto"/>
        </w:rPr>
      </w:pPr>
      <w:r w:rsidRPr="00FA3203">
        <w:rPr>
          <w:b/>
          <w:bCs/>
          <w:color w:val="auto"/>
        </w:rPr>
        <w:lastRenderedPageBreak/>
        <w:t>Development Charge Freeze</w:t>
      </w:r>
      <w:r w:rsidRPr="00FA3203">
        <w:rPr>
          <w:color w:val="auto"/>
        </w:rPr>
        <w:t xml:space="preserve">: Locking in DC rates as defined in Section 26.2 of the DCA. </w:t>
      </w:r>
    </w:p>
    <w:p w14:paraId="48C81CFE" w14:textId="77777777" w:rsidR="00FA3203" w:rsidRPr="00FA3203" w:rsidRDefault="00FA3203" w:rsidP="00A16AD0">
      <w:pPr>
        <w:pStyle w:val="Default"/>
        <w:spacing w:before="120" w:after="200" w:line="276" w:lineRule="auto"/>
        <w:ind w:right="130"/>
        <w:rPr>
          <w:color w:val="auto"/>
        </w:rPr>
      </w:pPr>
      <w:r w:rsidRPr="00FA3203">
        <w:rPr>
          <w:b/>
          <w:bCs/>
          <w:color w:val="auto"/>
        </w:rPr>
        <w:t>Early Payment Agreement</w:t>
      </w:r>
      <w:r w:rsidRPr="00FA3203">
        <w:rPr>
          <w:color w:val="auto"/>
        </w:rPr>
        <w:t xml:space="preserve">: A municipality may enter into an agreement with a person who is required to pay a DC providing for all or any part of the charge to be paid before it would otherwise by payable (as referred to in Section 27 of the DCA). </w:t>
      </w:r>
    </w:p>
    <w:p w14:paraId="1C807A4D" w14:textId="77777777" w:rsidR="00793BEF" w:rsidRDefault="00FA3203" w:rsidP="00A16AD0">
      <w:pPr>
        <w:pStyle w:val="Default"/>
        <w:spacing w:before="120" w:after="120" w:line="276" w:lineRule="auto"/>
        <w:ind w:right="130"/>
        <w:rPr>
          <w:color w:val="auto"/>
        </w:rPr>
      </w:pPr>
      <w:r w:rsidRPr="00FA3203">
        <w:rPr>
          <w:b/>
          <w:bCs/>
          <w:color w:val="auto"/>
        </w:rPr>
        <w:t xml:space="preserve">Institutional Development </w:t>
      </w:r>
      <w:r w:rsidRPr="00FA3203">
        <w:rPr>
          <w:color w:val="auto"/>
        </w:rPr>
        <w:t xml:space="preserve">– is defined by O. Reg. 454/19, s. 3 (1) and means development of a building or structure intended for use, </w:t>
      </w:r>
    </w:p>
    <w:p w14:paraId="50D9CAEC" w14:textId="69782A60" w:rsidR="00FA3203" w:rsidRPr="00FA3203" w:rsidRDefault="00FA3203" w:rsidP="00A16AD0">
      <w:pPr>
        <w:pStyle w:val="Default"/>
        <w:numPr>
          <w:ilvl w:val="0"/>
          <w:numId w:val="29"/>
        </w:numPr>
        <w:spacing w:before="200" w:line="276" w:lineRule="auto"/>
        <w:ind w:right="-360"/>
        <w:jc w:val="both"/>
        <w:rPr>
          <w:color w:val="auto"/>
        </w:rPr>
      </w:pPr>
      <w:r w:rsidRPr="00FA3203">
        <w:rPr>
          <w:color w:val="auto"/>
        </w:rPr>
        <w:t>as a long-term care home within the meaning of subsection 2 (1) of the Long-Term Care Homes Act, 2007;</w:t>
      </w:r>
    </w:p>
    <w:p w14:paraId="17AEB7EF" w14:textId="24D31B66" w:rsidR="00793BEF" w:rsidRDefault="00FA3203" w:rsidP="00A16AD0">
      <w:pPr>
        <w:pStyle w:val="Default"/>
        <w:numPr>
          <w:ilvl w:val="0"/>
          <w:numId w:val="29"/>
        </w:numPr>
        <w:spacing w:before="120" w:after="120" w:line="276" w:lineRule="auto"/>
        <w:ind w:right="-360"/>
        <w:jc w:val="both"/>
        <w:rPr>
          <w:color w:val="auto"/>
        </w:rPr>
      </w:pPr>
      <w:r w:rsidRPr="00FA3203">
        <w:rPr>
          <w:color w:val="auto"/>
        </w:rPr>
        <w:t>as a retirement home within the meaning of subsection 2 (1) of the Retirement Homes Act, 2010;</w:t>
      </w:r>
    </w:p>
    <w:p w14:paraId="151A3E29" w14:textId="77777777" w:rsidR="00793BEF" w:rsidRDefault="00FA3203" w:rsidP="00A16AD0">
      <w:pPr>
        <w:pStyle w:val="Default"/>
        <w:numPr>
          <w:ilvl w:val="0"/>
          <w:numId w:val="29"/>
        </w:numPr>
        <w:spacing w:before="120" w:after="120" w:line="276" w:lineRule="auto"/>
        <w:ind w:right="-360"/>
        <w:jc w:val="both"/>
        <w:rPr>
          <w:color w:val="auto"/>
        </w:rPr>
      </w:pPr>
      <w:r w:rsidRPr="00FA3203">
        <w:rPr>
          <w:color w:val="auto"/>
        </w:rPr>
        <w:t>by any of the following post-secondary institutions for the objects of the institution:</w:t>
      </w:r>
    </w:p>
    <w:p w14:paraId="760AFB9E" w14:textId="77777777" w:rsidR="00793BEF" w:rsidRDefault="00FA3203" w:rsidP="00A16AD0">
      <w:pPr>
        <w:pStyle w:val="Default"/>
        <w:numPr>
          <w:ilvl w:val="0"/>
          <w:numId w:val="30"/>
        </w:numPr>
        <w:spacing w:before="120" w:after="120" w:line="276" w:lineRule="auto"/>
        <w:jc w:val="both"/>
        <w:rPr>
          <w:color w:val="auto"/>
        </w:rPr>
      </w:pPr>
      <w:r w:rsidRPr="00793BEF">
        <w:rPr>
          <w:color w:val="auto"/>
        </w:rPr>
        <w:t>a university in Ontario that receives direct, regular and ongoing operating funding from the Government of Ontario,</w:t>
      </w:r>
    </w:p>
    <w:p w14:paraId="5BEBB1A1" w14:textId="77777777" w:rsidR="00793BEF" w:rsidRDefault="00FA3203" w:rsidP="00A16AD0">
      <w:pPr>
        <w:pStyle w:val="Default"/>
        <w:numPr>
          <w:ilvl w:val="0"/>
          <w:numId w:val="30"/>
        </w:numPr>
        <w:spacing w:before="120" w:after="120" w:line="276" w:lineRule="auto"/>
        <w:jc w:val="both"/>
        <w:rPr>
          <w:color w:val="auto"/>
        </w:rPr>
      </w:pPr>
      <w:r w:rsidRPr="00793BEF">
        <w:rPr>
          <w:color w:val="auto"/>
        </w:rPr>
        <w:t>a college or university federated or affiliated with a university described in subclause (i), or</w:t>
      </w:r>
    </w:p>
    <w:p w14:paraId="0F6EFDD6" w14:textId="380611F5" w:rsidR="00FA3203" w:rsidRPr="00793BEF" w:rsidRDefault="00FA3203" w:rsidP="00A16AD0">
      <w:pPr>
        <w:pStyle w:val="Default"/>
        <w:numPr>
          <w:ilvl w:val="0"/>
          <w:numId w:val="30"/>
        </w:numPr>
        <w:spacing w:before="120" w:after="120" w:line="276" w:lineRule="auto"/>
        <w:jc w:val="both"/>
        <w:rPr>
          <w:color w:val="auto"/>
        </w:rPr>
      </w:pPr>
      <w:r w:rsidRPr="00793BEF">
        <w:rPr>
          <w:color w:val="auto"/>
        </w:rPr>
        <w:t>an Indigenous Institute prescribed for the purposes of section 6 of the Indigenous Institutes Act, 2017;</w:t>
      </w:r>
    </w:p>
    <w:p w14:paraId="5B84060D" w14:textId="72E8FCA8" w:rsidR="00793BEF" w:rsidRDefault="00FA3203" w:rsidP="00A16AD0">
      <w:pPr>
        <w:pStyle w:val="Default"/>
        <w:numPr>
          <w:ilvl w:val="0"/>
          <w:numId w:val="29"/>
        </w:numPr>
        <w:spacing w:before="120" w:after="120" w:line="276" w:lineRule="auto"/>
        <w:ind w:right="-360"/>
        <w:jc w:val="both"/>
        <w:rPr>
          <w:color w:val="auto"/>
        </w:rPr>
      </w:pPr>
      <w:r w:rsidRPr="00FA3203">
        <w:rPr>
          <w:color w:val="auto"/>
        </w:rPr>
        <w:t>as a memorial home, clubhouse or athletic grounds by an Ontario branch of the Royal Canadian Legion; or</w:t>
      </w:r>
    </w:p>
    <w:p w14:paraId="74644AE8" w14:textId="421FDD92" w:rsidR="00FA3203" w:rsidRPr="00FA3203" w:rsidRDefault="00FA3203" w:rsidP="00A16AD0">
      <w:pPr>
        <w:pStyle w:val="Default"/>
        <w:numPr>
          <w:ilvl w:val="0"/>
          <w:numId w:val="29"/>
        </w:numPr>
        <w:spacing w:before="120" w:after="120" w:line="276" w:lineRule="auto"/>
        <w:ind w:right="-360"/>
        <w:jc w:val="both"/>
        <w:rPr>
          <w:color w:val="auto"/>
        </w:rPr>
      </w:pPr>
      <w:r w:rsidRPr="00FA3203">
        <w:rPr>
          <w:color w:val="auto"/>
        </w:rPr>
        <w:t>as a hospice to provide end of life care.</w:t>
      </w:r>
    </w:p>
    <w:p w14:paraId="60E12D06" w14:textId="61E46B72" w:rsidR="00793BEF" w:rsidRPr="00FA3203" w:rsidRDefault="00FA3203" w:rsidP="004D69B5">
      <w:pPr>
        <w:pStyle w:val="Default"/>
        <w:spacing w:before="200" w:after="200" w:line="276" w:lineRule="auto"/>
        <w:ind w:right="130"/>
        <w:rPr>
          <w:color w:val="auto"/>
        </w:rPr>
      </w:pPr>
      <w:r w:rsidRPr="00FA3203">
        <w:rPr>
          <w:b/>
          <w:bCs/>
          <w:color w:val="auto"/>
        </w:rPr>
        <w:t xml:space="preserve">Non-Profit Housing Development </w:t>
      </w:r>
      <w:r w:rsidRPr="00FA3203">
        <w:rPr>
          <w:color w:val="auto"/>
        </w:rPr>
        <w:t>– is defined by O. Reg. 454/19, s. 3 (1) and means development of a building or structure intended for use as residential premises by,</w:t>
      </w:r>
    </w:p>
    <w:p w14:paraId="330096AE" w14:textId="77777777" w:rsidR="00FA3203" w:rsidRPr="00FA3203" w:rsidRDefault="00FA3203" w:rsidP="00A16AD0">
      <w:pPr>
        <w:pStyle w:val="Default"/>
        <w:numPr>
          <w:ilvl w:val="0"/>
          <w:numId w:val="25"/>
        </w:numPr>
        <w:spacing w:before="120" w:after="120" w:line="276" w:lineRule="auto"/>
        <w:jc w:val="both"/>
        <w:rPr>
          <w:color w:val="auto"/>
        </w:rPr>
      </w:pPr>
      <w:r w:rsidRPr="00FA3203">
        <w:rPr>
          <w:color w:val="auto"/>
        </w:rPr>
        <w:t xml:space="preserve">a corporation without share capital to which the Corporations Act applies, that is in good standing under that Act and whose primary object is to provide housing; </w:t>
      </w:r>
    </w:p>
    <w:p w14:paraId="38A150C0" w14:textId="77777777" w:rsidR="00FA3203" w:rsidRPr="00FA3203" w:rsidRDefault="00FA3203" w:rsidP="00A16AD0">
      <w:pPr>
        <w:pStyle w:val="Default"/>
        <w:numPr>
          <w:ilvl w:val="0"/>
          <w:numId w:val="25"/>
        </w:numPr>
        <w:spacing w:before="120" w:after="120" w:line="276" w:lineRule="auto"/>
        <w:jc w:val="both"/>
        <w:rPr>
          <w:color w:val="auto"/>
        </w:rPr>
      </w:pPr>
      <w:r w:rsidRPr="00FA3203">
        <w:rPr>
          <w:color w:val="auto"/>
        </w:rPr>
        <w:t>a corporation without share capital to which the Canada Not-for-profit Corporations Act applies, that is in good standing under that Act and whose primary object is to provide housing; or</w:t>
      </w:r>
    </w:p>
    <w:p w14:paraId="1FA3B0CA" w14:textId="77777777" w:rsidR="00FA3203" w:rsidRPr="00FA3203" w:rsidRDefault="00FA3203" w:rsidP="00A16AD0">
      <w:pPr>
        <w:pStyle w:val="Default"/>
        <w:numPr>
          <w:ilvl w:val="0"/>
          <w:numId w:val="25"/>
        </w:numPr>
        <w:spacing w:before="120" w:after="120" w:line="276" w:lineRule="auto"/>
        <w:jc w:val="both"/>
        <w:rPr>
          <w:color w:val="auto"/>
        </w:rPr>
      </w:pPr>
      <w:r w:rsidRPr="00FA3203">
        <w:rPr>
          <w:color w:val="auto"/>
        </w:rPr>
        <w:t xml:space="preserve">a non-profit housing co-operative that is in good standing under the Co-operative Corporations Act. </w:t>
      </w:r>
    </w:p>
    <w:p w14:paraId="65C20375" w14:textId="77777777" w:rsidR="00FA3203" w:rsidRPr="00FA3203" w:rsidRDefault="00FA3203" w:rsidP="004D69B5">
      <w:pPr>
        <w:pStyle w:val="Default"/>
        <w:spacing w:before="200" w:after="200" w:line="276" w:lineRule="auto"/>
        <w:ind w:right="130"/>
        <w:rPr>
          <w:color w:val="auto"/>
        </w:rPr>
      </w:pPr>
      <w:r w:rsidRPr="00FA3203">
        <w:rPr>
          <w:b/>
          <w:bCs/>
          <w:color w:val="auto"/>
        </w:rPr>
        <w:t>Prime</w:t>
      </w:r>
      <w:r w:rsidRPr="00FA3203">
        <w:rPr>
          <w:color w:val="auto"/>
        </w:rPr>
        <w:t xml:space="preserve">: The prime lending rate, being the annual interest rate as indicated on the Bank of Canada Website. </w:t>
      </w:r>
    </w:p>
    <w:p w14:paraId="4A523DEF" w14:textId="77777777" w:rsidR="00FA3203" w:rsidRDefault="00FA3203" w:rsidP="00A16AD0">
      <w:pPr>
        <w:pStyle w:val="Default"/>
        <w:spacing w:before="120" w:after="200" w:line="276" w:lineRule="auto"/>
        <w:ind w:right="130"/>
        <w:rPr>
          <w:color w:val="auto"/>
        </w:rPr>
      </w:pPr>
      <w:r w:rsidRPr="00FA3203">
        <w:rPr>
          <w:b/>
          <w:bCs/>
          <w:color w:val="auto"/>
        </w:rPr>
        <w:t xml:space="preserve">Qualifying Developments: </w:t>
      </w:r>
      <w:r w:rsidRPr="00FA3203">
        <w:rPr>
          <w:color w:val="auto"/>
        </w:rPr>
        <w:t>as defined in Section 26.1 (2) of the DCA and include:</w:t>
      </w:r>
    </w:p>
    <w:p w14:paraId="521451D6" w14:textId="77777777" w:rsidR="00FA3203" w:rsidRDefault="00FA3203" w:rsidP="00A16AD0">
      <w:pPr>
        <w:pStyle w:val="Default"/>
        <w:numPr>
          <w:ilvl w:val="0"/>
          <w:numId w:val="28"/>
        </w:numPr>
        <w:spacing w:before="120" w:after="120"/>
        <w:rPr>
          <w:color w:val="auto"/>
        </w:rPr>
      </w:pPr>
      <w:r w:rsidRPr="00FA3203">
        <w:rPr>
          <w:color w:val="auto"/>
        </w:rPr>
        <w:lastRenderedPageBreak/>
        <w:t>Rental housing development that is not non-profit housing</w:t>
      </w:r>
    </w:p>
    <w:p w14:paraId="2109DFE2" w14:textId="69A09F83" w:rsidR="00FA3203" w:rsidRPr="00FA3203" w:rsidRDefault="00FA3203" w:rsidP="00FA3203">
      <w:pPr>
        <w:pStyle w:val="Default"/>
        <w:numPr>
          <w:ilvl w:val="0"/>
          <w:numId w:val="28"/>
        </w:numPr>
        <w:spacing w:before="120" w:after="200"/>
        <w:rPr>
          <w:color w:val="auto"/>
        </w:rPr>
      </w:pPr>
      <w:r w:rsidRPr="00FA3203">
        <w:rPr>
          <w:color w:val="auto"/>
        </w:rPr>
        <w:t>Institutional development</w:t>
      </w:r>
    </w:p>
    <w:p w14:paraId="12DE964E" w14:textId="77777777" w:rsidR="00FA3203" w:rsidRPr="00FA3203" w:rsidRDefault="00FA3203" w:rsidP="00A16AD0">
      <w:pPr>
        <w:pStyle w:val="Default"/>
        <w:spacing w:before="120" w:after="200" w:line="276" w:lineRule="auto"/>
        <w:ind w:right="130"/>
        <w:rPr>
          <w:color w:val="auto"/>
        </w:rPr>
      </w:pPr>
      <w:r w:rsidRPr="00FA3203">
        <w:rPr>
          <w:b/>
          <w:bCs/>
          <w:color w:val="auto"/>
        </w:rPr>
        <w:t xml:space="preserve">Rental Housing Development: </w:t>
      </w:r>
      <w:r w:rsidRPr="00FA3203">
        <w:rPr>
          <w:color w:val="auto"/>
        </w:rPr>
        <w:t xml:space="preserve">as defined by O. Reg. 454/19, s. 3 (1) and means development of a building or structure with four or more dwelling units all of which are intended for use as rented residential premises. </w:t>
      </w:r>
    </w:p>
    <w:p w14:paraId="6373558A" w14:textId="702B6958" w:rsidR="00CF2B53" w:rsidRPr="00A16AD0" w:rsidRDefault="00FA3203" w:rsidP="00A16AD0">
      <w:pPr>
        <w:pStyle w:val="Default"/>
        <w:spacing w:before="120" w:after="200" w:line="276" w:lineRule="auto"/>
        <w:ind w:right="130"/>
        <w:rPr>
          <w:color w:val="auto"/>
        </w:rPr>
      </w:pPr>
      <w:r w:rsidRPr="00FA3203">
        <w:rPr>
          <w:b/>
          <w:bCs/>
          <w:color w:val="auto"/>
        </w:rPr>
        <w:t>Security</w:t>
      </w:r>
      <w:r w:rsidRPr="00FA3203">
        <w:rPr>
          <w:color w:val="auto"/>
        </w:rPr>
        <w:t>: An agreed upon asset or assurance provided to the City in anticipation of later payment of DC’s, to then be returned to the owner once paid in full.</w:t>
      </w:r>
    </w:p>
    <w:p w14:paraId="17945CE8" w14:textId="715A2C3A" w:rsidR="00B20DFF" w:rsidRPr="00B90576" w:rsidRDefault="008A4C43" w:rsidP="00B90576">
      <w:pPr>
        <w:pStyle w:val="Heading1"/>
        <w:tabs>
          <w:tab w:val="left" w:pos="3544"/>
        </w:tabs>
        <w:spacing w:before="0" w:line="240" w:lineRule="auto"/>
        <w:contextualSpacing/>
        <w:jc w:val="left"/>
      </w:pPr>
      <w:r w:rsidRPr="004166A9">
        <w:t>AUTHORITY</w:t>
      </w:r>
    </w:p>
    <w:p w14:paraId="398CA43E" w14:textId="12FAEEDA" w:rsidR="007F2736" w:rsidRPr="00A16AD0" w:rsidRDefault="00FA3203" w:rsidP="00A16AD0">
      <w:pPr>
        <w:pStyle w:val="Default"/>
        <w:spacing w:before="120" w:after="200" w:line="276" w:lineRule="auto"/>
        <w:ind w:right="130"/>
        <w:rPr>
          <w:color w:val="auto"/>
        </w:rPr>
      </w:pPr>
      <w:r w:rsidRPr="00FA3203">
        <w:rPr>
          <w:color w:val="auto"/>
        </w:rPr>
        <w:t xml:space="preserve">This policy operates under the authority of the Development Charges Act S.O. 1997, c. 27, Section 26. </w:t>
      </w:r>
    </w:p>
    <w:p w14:paraId="1ADC656E" w14:textId="53C7F847" w:rsidR="008A4C43" w:rsidRPr="00F84526" w:rsidRDefault="008A4C43" w:rsidP="004166A9">
      <w:pPr>
        <w:pStyle w:val="Heading1"/>
        <w:tabs>
          <w:tab w:val="left" w:pos="3544"/>
        </w:tabs>
        <w:spacing w:before="0" w:line="240" w:lineRule="auto"/>
        <w:contextualSpacing/>
        <w:jc w:val="left"/>
      </w:pPr>
      <w:r w:rsidRPr="004166A9">
        <w:t>SCOPE</w:t>
      </w:r>
    </w:p>
    <w:p w14:paraId="5FE0D92D" w14:textId="668C157F" w:rsidR="00FA3203" w:rsidRPr="00FA3203" w:rsidRDefault="00FA3203" w:rsidP="00A16AD0">
      <w:pPr>
        <w:pStyle w:val="Default"/>
        <w:spacing w:before="120" w:after="200" w:line="276" w:lineRule="auto"/>
        <w:ind w:right="130"/>
        <w:rPr>
          <w:color w:val="auto"/>
        </w:rPr>
      </w:pPr>
      <w:r w:rsidRPr="00FA3203">
        <w:rPr>
          <w:color w:val="auto"/>
        </w:rPr>
        <w:t xml:space="preserve">This policy applies to City of Cambridge employees involved with development of all lands in the City and the collection of applicable revenue. </w:t>
      </w:r>
    </w:p>
    <w:p w14:paraId="1A20E525" w14:textId="77777777" w:rsidR="00A22214" w:rsidRDefault="008A4C43" w:rsidP="00CF2B53">
      <w:pPr>
        <w:pStyle w:val="Heading1"/>
        <w:tabs>
          <w:tab w:val="left" w:pos="3544"/>
        </w:tabs>
        <w:spacing w:before="0" w:after="200" w:line="240" w:lineRule="auto"/>
        <w:jc w:val="left"/>
      </w:pPr>
      <w:r w:rsidRPr="00DA35AE">
        <w:t>POLICY</w:t>
      </w:r>
    </w:p>
    <w:p w14:paraId="255ADFEB" w14:textId="77777777" w:rsidR="00FA3203" w:rsidRPr="00FA3203" w:rsidRDefault="00FA3203" w:rsidP="00A16AD0">
      <w:pPr>
        <w:pStyle w:val="Default"/>
        <w:spacing w:before="120" w:after="200" w:line="276" w:lineRule="auto"/>
        <w:ind w:right="130"/>
        <w:rPr>
          <w:color w:val="auto"/>
        </w:rPr>
      </w:pPr>
      <w:r w:rsidRPr="00FA3203">
        <w:rPr>
          <w:color w:val="auto"/>
        </w:rPr>
        <w:t>The City’s Development Charges Interest Policy provides the specifics of the City’s policy without reiterating most aspects of the DCA itself. The City’s policy is meant to be interpreted in accordance and in conjunction with the DCA. To help clarify, example calculations are provided.</w:t>
      </w:r>
    </w:p>
    <w:p w14:paraId="2A4D0A65" w14:textId="77777777" w:rsidR="00FA3203" w:rsidRPr="00FA3203" w:rsidRDefault="00FA3203" w:rsidP="00FA3203">
      <w:pPr>
        <w:pStyle w:val="Default"/>
        <w:spacing w:before="1" w:after="240"/>
        <w:rPr>
          <w:color w:val="auto"/>
        </w:rPr>
      </w:pPr>
      <w:r w:rsidRPr="00FA3203">
        <w:rPr>
          <w:b/>
          <w:bCs/>
          <w:color w:val="auto"/>
        </w:rPr>
        <w:t xml:space="preserve">Development Charge Deferral </w:t>
      </w:r>
    </w:p>
    <w:p w14:paraId="68949E3B" w14:textId="77777777" w:rsidR="00FA3203" w:rsidRPr="00FA3203" w:rsidRDefault="00FA3203" w:rsidP="00A16AD0">
      <w:pPr>
        <w:pStyle w:val="Default"/>
        <w:spacing w:before="120" w:after="200" w:line="276" w:lineRule="auto"/>
        <w:ind w:right="130"/>
        <w:rPr>
          <w:color w:val="auto"/>
        </w:rPr>
      </w:pPr>
      <w:r w:rsidRPr="00FA3203">
        <w:rPr>
          <w:color w:val="auto"/>
        </w:rPr>
        <w:t xml:space="preserve">Section 26.1 of the DCA provides for the deferral of development charges for the following types of development: </w:t>
      </w:r>
    </w:p>
    <w:p w14:paraId="28871999" w14:textId="77777777" w:rsidR="00FA3203" w:rsidRPr="00FA3203" w:rsidRDefault="00FA3203" w:rsidP="00A16AD0">
      <w:pPr>
        <w:pStyle w:val="Default"/>
        <w:spacing w:before="200" w:after="120" w:line="276" w:lineRule="auto"/>
        <w:ind w:left="720" w:hanging="360"/>
        <w:rPr>
          <w:color w:val="auto"/>
        </w:rPr>
      </w:pPr>
      <w:r w:rsidRPr="00FA3203">
        <w:rPr>
          <w:color w:val="auto"/>
        </w:rPr>
        <w:t>• Rental housing development that is not non-profit housing development, and</w:t>
      </w:r>
    </w:p>
    <w:p w14:paraId="79D55371" w14:textId="77F40C6B" w:rsidR="00FA3203" w:rsidRPr="00FA3203" w:rsidRDefault="00FA3203" w:rsidP="00A16AD0">
      <w:pPr>
        <w:pStyle w:val="Default"/>
        <w:spacing w:before="120" w:after="120" w:line="276" w:lineRule="auto"/>
        <w:ind w:left="720" w:hanging="360"/>
        <w:rPr>
          <w:color w:val="auto"/>
        </w:rPr>
      </w:pPr>
      <w:r w:rsidRPr="00FA3203">
        <w:rPr>
          <w:color w:val="auto"/>
        </w:rPr>
        <w:t xml:space="preserve">• Institutional development </w:t>
      </w:r>
    </w:p>
    <w:p w14:paraId="07EF1642" w14:textId="77777777" w:rsidR="00FA3203" w:rsidRPr="00FA3203" w:rsidRDefault="00FA3203" w:rsidP="00A16AD0">
      <w:pPr>
        <w:pStyle w:val="Default"/>
        <w:spacing w:before="120" w:after="200" w:line="276" w:lineRule="auto"/>
        <w:ind w:right="130"/>
        <w:rPr>
          <w:color w:val="auto"/>
        </w:rPr>
      </w:pPr>
      <w:r w:rsidRPr="00FA3203">
        <w:rPr>
          <w:color w:val="auto"/>
        </w:rPr>
        <w:t xml:space="preserve">The equal annual installment payments for DC’s on those development types shall be paid on the earlier of the date of the issuance of a permit under the Building Code Act authorizing occupation of the building or the date the building is first occupied. </w:t>
      </w:r>
    </w:p>
    <w:p w14:paraId="7A358D5B" w14:textId="77777777" w:rsidR="00FA3203" w:rsidRPr="00FA3203" w:rsidRDefault="00FA3203" w:rsidP="00A16AD0">
      <w:pPr>
        <w:pStyle w:val="Default"/>
        <w:spacing w:before="120" w:after="200" w:line="276" w:lineRule="auto"/>
        <w:ind w:right="130"/>
        <w:rPr>
          <w:color w:val="auto"/>
        </w:rPr>
      </w:pPr>
      <w:r w:rsidRPr="00FA3203">
        <w:rPr>
          <w:color w:val="auto"/>
        </w:rPr>
        <w:t xml:space="preserve">For rental housing development that is not non-profit housing development or institutional development, development charges shall be paid in 6 annual installments. </w:t>
      </w:r>
    </w:p>
    <w:p w14:paraId="737CE2C7" w14:textId="77777777" w:rsidR="00FA3203" w:rsidRPr="00FA3203" w:rsidRDefault="00FA3203" w:rsidP="00A16AD0">
      <w:pPr>
        <w:pStyle w:val="Default"/>
        <w:spacing w:before="120" w:after="200" w:line="276" w:lineRule="auto"/>
        <w:ind w:right="130"/>
        <w:rPr>
          <w:color w:val="auto"/>
        </w:rPr>
      </w:pPr>
      <w:r w:rsidRPr="00FA3203">
        <w:rPr>
          <w:color w:val="auto"/>
        </w:rPr>
        <w:t xml:space="preserve">Section 26.1(7) of the DCA provides that interest may be charged on each instalment from the building permit issuance date to the date the instalment is paid. An annual interest rate of Prime plus the percentage in force under the DCA will be applied to installment balances, as determined at the time of building permit issuance, and locked </w:t>
      </w:r>
      <w:r w:rsidRPr="00FA3203">
        <w:rPr>
          <w:color w:val="auto"/>
        </w:rPr>
        <w:lastRenderedPageBreak/>
        <w:t xml:space="preserve">in for the term of the deferral. Interest will be charged for any DC charges deferred for rental housing development or institutional development. The Prime interest rate to be used will be the rate in effect at the time of building permit issuance. </w:t>
      </w:r>
    </w:p>
    <w:p w14:paraId="1914DCEA" w14:textId="77777777" w:rsidR="00FA3203" w:rsidRPr="00FA3203" w:rsidRDefault="00FA3203" w:rsidP="00A16AD0">
      <w:pPr>
        <w:pStyle w:val="Default"/>
        <w:spacing w:before="120" w:after="200" w:line="276" w:lineRule="auto"/>
        <w:ind w:right="130"/>
        <w:rPr>
          <w:color w:val="auto"/>
        </w:rPr>
      </w:pPr>
      <w:r w:rsidRPr="00FA3203">
        <w:rPr>
          <w:color w:val="auto"/>
        </w:rPr>
        <w:t xml:space="preserve">Early payment agreements will be offered if the owner of a development would prefer to pay the full DC owing at building permit issuance versus installments over several years, thus removing interest charges on the DC payable. Agreements for payment of development charges at a date earlier than would be permitted pursuant to Section 26.1, but after building permit issuance, may also be accepted with accrued interest from building permit issuance date to the date DC’s are paid. </w:t>
      </w:r>
    </w:p>
    <w:p w14:paraId="506BB0C8" w14:textId="77777777" w:rsidR="00FA3203" w:rsidRPr="00FA3203" w:rsidRDefault="00FA3203" w:rsidP="00A16AD0">
      <w:pPr>
        <w:pStyle w:val="Default"/>
        <w:spacing w:before="120" w:after="200" w:line="276" w:lineRule="auto"/>
        <w:ind w:right="130"/>
        <w:rPr>
          <w:color w:val="auto"/>
        </w:rPr>
      </w:pPr>
      <w:r w:rsidRPr="00FA3203">
        <w:rPr>
          <w:color w:val="auto"/>
        </w:rPr>
        <w:t xml:space="preserve">A person required to pay a development charge referred to above on a deferred basis shall, unless the occupancy of the building is authorized under the Building Code Act, notify the municipality within five (5) business days of any part of the building first being occupied. Failure to comply with that notice will result in the development charge, including any accrued interest, becoming payable immediately. </w:t>
      </w:r>
    </w:p>
    <w:p w14:paraId="4E69D633" w14:textId="77777777" w:rsidR="00FA3203" w:rsidRPr="00FA3203" w:rsidRDefault="00FA3203" w:rsidP="00FA3203">
      <w:pPr>
        <w:pStyle w:val="Default"/>
        <w:spacing w:before="200" w:after="120"/>
        <w:rPr>
          <w:color w:val="auto"/>
        </w:rPr>
      </w:pPr>
      <w:r w:rsidRPr="00FA3203">
        <w:rPr>
          <w:b/>
          <w:bCs/>
          <w:color w:val="auto"/>
        </w:rPr>
        <w:t xml:space="preserve">Development Charge Freeze </w:t>
      </w:r>
    </w:p>
    <w:p w14:paraId="5D8DCED5" w14:textId="23A1AE25" w:rsidR="00FA3203" w:rsidRPr="00FA3203" w:rsidRDefault="00FA3203" w:rsidP="00A16AD0">
      <w:pPr>
        <w:pStyle w:val="Default"/>
        <w:spacing w:before="120" w:after="200" w:line="276" w:lineRule="auto"/>
        <w:ind w:right="130"/>
        <w:rPr>
          <w:color w:val="auto"/>
        </w:rPr>
      </w:pPr>
      <w:r w:rsidRPr="00FA3203">
        <w:rPr>
          <w:color w:val="auto"/>
        </w:rPr>
        <w:t>Section 26.2 of the DCA provides that the total amount of a development charge for a development that is proceeding through a site plan control approval or a zoning by-law amendment approval is to be determined under the DC by-law in effect on the date when</w:t>
      </w:r>
      <w:r>
        <w:rPr>
          <w:color w:val="auto"/>
        </w:rPr>
        <w:t xml:space="preserve"> </w:t>
      </w:r>
      <w:r w:rsidRPr="00FA3203">
        <w:rPr>
          <w:color w:val="auto"/>
        </w:rPr>
        <w:t xml:space="preserve">a complete application is made. Pursuant to Bill 185, Section 26.2 (5), if more than 18 months has elapsed since the approval of the relevant application to when the first building permit is issued, the amount of the development charge is to be determined at the issuance of the building permit (if the development charge has been deferred pursuant to section 26.1 of the DCA) or at the time the development charge becomes payable (if the development charge has not been deferred pursuant to section 26.1 of the DCA). </w:t>
      </w:r>
    </w:p>
    <w:p w14:paraId="2444A569" w14:textId="77777777" w:rsidR="00FA3203" w:rsidRPr="00FA3203" w:rsidRDefault="00FA3203" w:rsidP="00A16AD0">
      <w:pPr>
        <w:pStyle w:val="Default"/>
        <w:spacing w:before="120" w:after="200" w:line="276" w:lineRule="auto"/>
        <w:ind w:right="130"/>
        <w:rPr>
          <w:color w:val="auto"/>
        </w:rPr>
      </w:pPr>
      <w:r w:rsidRPr="00FA3203">
        <w:rPr>
          <w:color w:val="auto"/>
        </w:rPr>
        <w:t xml:space="preserve">Pursuant to Section 26.2(4) of the DCA, if a development was subject to both site plan and zoning bylaw amendment applications at the same time, it is the date of the later one that is used to determine the DCs payable. If neither of these applications apply to the development, then the DC is determined on the building permit issuance date. </w:t>
      </w:r>
    </w:p>
    <w:p w14:paraId="788A736D" w14:textId="77777777" w:rsidR="00FA3203" w:rsidRPr="00FA3203" w:rsidRDefault="00FA3203" w:rsidP="00A16AD0">
      <w:pPr>
        <w:pStyle w:val="Default"/>
        <w:spacing w:before="120" w:after="200" w:line="276" w:lineRule="auto"/>
        <w:ind w:right="130"/>
        <w:rPr>
          <w:color w:val="auto"/>
        </w:rPr>
      </w:pPr>
      <w:r w:rsidRPr="00FA3203">
        <w:rPr>
          <w:color w:val="auto"/>
        </w:rPr>
        <w:t xml:space="preserve">If a development charge is to be calculated at the time of a site plan application or at the time of a zoning by-law amendment application, the City may charge interest on the DC amount from the date of the complete application referred to in the applicable clause to the date the development charge is payable. An annual interest rate of Prime plus the percentage in force under the DCA will be charged for any DC rate frozen during the development process. The Prime interest rate to be used will be the rate in effect when complete applications are submitted. </w:t>
      </w:r>
    </w:p>
    <w:p w14:paraId="727B04F8" w14:textId="77777777" w:rsidR="00FA3203" w:rsidRPr="00FA3203" w:rsidRDefault="00FA3203" w:rsidP="00A16AD0">
      <w:pPr>
        <w:pStyle w:val="Default"/>
        <w:spacing w:before="120" w:after="200" w:line="276" w:lineRule="auto"/>
        <w:ind w:right="130"/>
        <w:rPr>
          <w:color w:val="auto"/>
        </w:rPr>
      </w:pPr>
      <w:r w:rsidRPr="00FA3203">
        <w:rPr>
          <w:color w:val="auto"/>
        </w:rPr>
        <w:lastRenderedPageBreak/>
        <w:t xml:space="preserve">The annual interest rate applied to DC’s pursuant to Section 26.2 of the DCA is determined when the DC is calculated, and is locked in until such time as the DC becomes payable, with interest accruing to the date the DC would normally be paid in the absence of any deferrals under Section 26.1 of the DCA (i.e. at building permit issuance); and prorated accordingly based on when the interest starts accruing. </w:t>
      </w:r>
    </w:p>
    <w:p w14:paraId="747A9F58" w14:textId="77777777" w:rsidR="00FA3203" w:rsidRPr="00FA3203" w:rsidRDefault="00FA3203" w:rsidP="00FA3203">
      <w:pPr>
        <w:pStyle w:val="Default"/>
        <w:spacing w:before="1" w:after="240"/>
        <w:rPr>
          <w:color w:val="auto"/>
        </w:rPr>
      </w:pPr>
      <w:r w:rsidRPr="00FA3203">
        <w:rPr>
          <w:color w:val="auto"/>
        </w:rPr>
        <w:t xml:space="preserve">Similar to early payment agreement options for deferrals under Section 26.1 of the DCA, the City may enter into an early payment agreement with a person who has locked in a DC rate pursuant to Section 26.2 of the DCA. The agreement can provide for all or any part of the DC to be paid before it would otherwise be due to mitigate interest charges. </w:t>
      </w:r>
    </w:p>
    <w:p w14:paraId="1F3FD98C" w14:textId="77777777" w:rsidR="00FA3203" w:rsidRPr="00FA3203" w:rsidRDefault="00FA3203" w:rsidP="00FA3203">
      <w:pPr>
        <w:pStyle w:val="Default"/>
        <w:spacing w:before="1" w:after="240"/>
        <w:rPr>
          <w:color w:val="auto"/>
        </w:rPr>
      </w:pPr>
      <w:r w:rsidRPr="00FA3203">
        <w:rPr>
          <w:color w:val="auto"/>
        </w:rPr>
        <w:t xml:space="preserve">If any development charges or interest charges, or any part thereof remains unpaid after it becomes payable (under both Sections 26.1 and 26.2 of the DCA), the amount unpaid shall be added to the tax roll of that property and collected in the same manner as taxes. </w:t>
      </w:r>
    </w:p>
    <w:p w14:paraId="6F899CF5" w14:textId="77777777" w:rsidR="00FA3203" w:rsidRPr="00FA3203" w:rsidRDefault="00FA3203" w:rsidP="00FA3203">
      <w:pPr>
        <w:pStyle w:val="Default"/>
        <w:spacing w:before="1" w:after="240"/>
        <w:rPr>
          <w:b/>
          <w:bCs/>
          <w:color w:val="auto"/>
        </w:rPr>
      </w:pPr>
      <w:r w:rsidRPr="00FA3203">
        <w:rPr>
          <w:b/>
          <w:bCs/>
          <w:color w:val="auto"/>
        </w:rPr>
        <w:t>Maximum Interest Rate</w:t>
      </w:r>
    </w:p>
    <w:p w14:paraId="0D575FB0" w14:textId="77777777" w:rsidR="00FA3203" w:rsidRPr="00FA3203" w:rsidRDefault="00FA3203" w:rsidP="00A16AD0">
      <w:pPr>
        <w:pStyle w:val="Default"/>
        <w:spacing w:before="120" w:after="200" w:line="276" w:lineRule="auto"/>
        <w:ind w:right="130"/>
        <w:rPr>
          <w:color w:val="auto"/>
        </w:rPr>
      </w:pPr>
      <w:r w:rsidRPr="00FA3203">
        <w:rPr>
          <w:color w:val="auto"/>
        </w:rPr>
        <w:t>Pursuant to Bill 185, the maximum amount of interest that a municipality may charge shall be determined according to the following rules:</w:t>
      </w:r>
    </w:p>
    <w:p w14:paraId="6BFEA000" w14:textId="77777777" w:rsidR="00FA3203" w:rsidRPr="00FA3203" w:rsidRDefault="00FA3203" w:rsidP="00A16AD0">
      <w:pPr>
        <w:pStyle w:val="Default"/>
        <w:spacing w:before="120" w:after="200" w:line="276" w:lineRule="auto"/>
        <w:ind w:right="130"/>
        <w:rPr>
          <w:color w:val="auto"/>
        </w:rPr>
      </w:pPr>
      <w:r w:rsidRPr="00FA3203">
        <w:rPr>
          <w:color w:val="auto"/>
        </w:rPr>
        <w:t>An adjustment date shall be used to determine the average prime rate to apply the interest on development charges. As per Section 26.3 of the DCA, the base rate of interest shall be determined for April 1, 2022 and for each adjustment date after April 1, 2022 and shall be equal to the average prime rate on,</w:t>
      </w:r>
    </w:p>
    <w:p w14:paraId="224D21A1" w14:textId="77777777" w:rsidR="00FA3203" w:rsidRPr="00FA3203" w:rsidRDefault="00FA3203" w:rsidP="00A16AD0">
      <w:pPr>
        <w:pStyle w:val="Default"/>
        <w:numPr>
          <w:ilvl w:val="0"/>
          <w:numId w:val="27"/>
        </w:numPr>
        <w:spacing w:before="120" w:after="120" w:line="276" w:lineRule="auto"/>
        <w:jc w:val="both"/>
        <w:rPr>
          <w:color w:val="auto"/>
        </w:rPr>
      </w:pPr>
      <w:r w:rsidRPr="00FA3203">
        <w:rPr>
          <w:color w:val="auto"/>
        </w:rPr>
        <w:t>October 15 of the previous year, if the adjustment date is January 1,</w:t>
      </w:r>
    </w:p>
    <w:p w14:paraId="040FDA42" w14:textId="77777777" w:rsidR="00FA3203" w:rsidRPr="00FA3203" w:rsidRDefault="00FA3203" w:rsidP="00C53469">
      <w:pPr>
        <w:pStyle w:val="Default"/>
        <w:numPr>
          <w:ilvl w:val="0"/>
          <w:numId w:val="27"/>
        </w:numPr>
        <w:spacing w:before="120" w:after="120" w:line="276" w:lineRule="auto"/>
        <w:jc w:val="both"/>
        <w:rPr>
          <w:color w:val="auto"/>
        </w:rPr>
      </w:pPr>
      <w:r w:rsidRPr="00FA3203">
        <w:rPr>
          <w:color w:val="auto"/>
        </w:rPr>
        <w:t>January 15 of the same year, if the adjustment date is April 1,</w:t>
      </w:r>
    </w:p>
    <w:p w14:paraId="6F34D55D" w14:textId="77777777" w:rsidR="00FA3203" w:rsidRPr="00FA3203" w:rsidRDefault="00FA3203" w:rsidP="00C53469">
      <w:pPr>
        <w:pStyle w:val="Default"/>
        <w:numPr>
          <w:ilvl w:val="0"/>
          <w:numId w:val="27"/>
        </w:numPr>
        <w:spacing w:before="120" w:after="120" w:line="276" w:lineRule="auto"/>
        <w:jc w:val="both"/>
        <w:rPr>
          <w:color w:val="auto"/>
        </w:rPr>
      </w:pPr>
      <w:r w:rsidRPr="00FA3203">
        <w:rPr>
          <w:color w:val="auto"/>
        </w:rPr>
        <w:t>April 15 of the same year, if the adjustment date is July 1, and</w:t>
      </w:r>
    </w:p>
    <w:p w14:paraId="74CEBE52" w14:textId="5185DE36" w:rsidR="00FA3203" w:rsidRPr="00A16AD0" w:rsidRDefault="00FA3203" w:rsidP="00C53469">
      <w:pPr>
        <w:pStyle w:val="Default"/>
        <w:numPr>
          <w:ilvl w:val="0"/>
          <w:numId w:val="27"/>
        </w:numPr>
        <w:spacing w:before="120" w:after="120" w:line="276" w:lineRule="auto"/>
        <w:jc w:val="both"/>
        <w:rPr>
          <w:color w:val="auto"/>
        </w:rPr>
      </w:pPr>
      <w:r w:rsidRPr="00FA3203">
        <w:rPr>
          <w:color w:val="auto"/>
        </w:rPr>
        <w:t>July 15 of the same year, if the adjustment date is October 1.</w:t>
      </w:r>
    </w:p>
    <w:p w14:paraId="5B985A7A" w14:textId="35C91294" w:rsidR="00793BEF" w:rsidRDefault="00793BEF" w:rsidP="00793BEF">
      <w:pPr>
        <w:ind w:left="0"/>
        <w:rPr>
          <w:rFonts w:ascii="Arial" w:hAnsi="Arial" w:cs="Arial"/>
          <w:b/>
          <w:bCs/>
          <w:sz w:val="24"/>
          <w:szCs w:val="24"/>
          <w:lang w:val="en-CA"/>
        </w:rPr>
      </w:pPr>
      <w:r w:rsidRPr="00793BEF">
        <w:rPr>
          <w:rFonts w:ascii="Arial" w:hAnsi="Arial" w:cs="Arial"/>
          <w:b/>
          <w:bCs/>
          <w:sz w:val="24"/>
          <w:szCs w:val="24"/>
          <w:lang w:val="en-CA"/>
        </w:rPr>
        <w:t>Other Matters</w:t>
      </w:r>
    </w:p>
    <w:p w14:paraId="5FAE7A32" w14:textId="77777777" w:rsidR="00793BEF" w:rsidRPr="00793BEF" w:rsidRDefault="00793BEF" w:rsidP="00A16AD0">
      <w:pPr>
        <w:pStyle w:val="Default"/>
        <w:spacing w:before="120" w:after="200" w:line="276" w:lineRule="auto"/>
        <w:ind w:right="130"/>
        <w:rPr>
          <w:color w:val="auto"/>
        </w:rPr>
      </w:pPr>
      <w:r w:rsidRPr="00793BEF">
        <w:rPr>
          <w:color w:val="auto"/>
        </w:rPr>
        <w:t xml:space="preserve">At this time, the City will not require additional security for deferrals eligible under Section 26.1 of the DCA. The deferral plans will be monitored and will be addressed should non-payment become an issue, with any unpaid DC’s transferred to the tax roll of the property. </w:t>
      </w:r>
    </w:p>
    <w:p w14:paraId="203CB208" w14:textId="17AA9416" w:rsidR="00793BEF" w:rsidRPr="00A16AD0" w:rsidRDefault="00793BEF" w:rsidP="00A16AD0">
      <w:pPr>
        <w:pStyle w:val="Default"/>
        <w:spacing w:before="120" w:after="200" w:line="276" w:lineRule="auto"/>
        <w:ind w:right="130"/>
        <w:rPr>
          <w:color w:val="auto"/>
        </w:rPr>
      </w:pPr>
      <w:r w:rsidRPr="00793BEF">
        <w:rPr>
          <w:color w:val="auto"/>
        </w:rPr>
        <w:t xml:space="preserve">Section 27 of the DCA allows a municipality to enter into an agreement with a person who is required to pay a development charge providing for all or any part of a development charge to be paid before or after it would otherwise be payable. The Chief Financial Officer is authorized to execute Development Charge payment agreements, Section 27 agreements for payment before or after payments would otherwise be made, and any other agreements he or she deems necessary for the proper implementation or </w:t>
      </w:r>
      <w:r w:rsidRPr="00793BEF">
        <w:rPr>
          <w:color w:val="auto"/>
        </w:rPr>
        <w:lastRenderedPageBreak/>
        <w:t xml:space="preserve">administration of this policy, in a legal form satisfactory to the City’s Solicitor and upon business terms satisfactory to the Chief Financial Officer. </w:t>
      </w:r>
    </w:p>
    <w:p w14:paraId="1E89BDF5" w14:textId="04D830A4" w:rsidR="00A22214" w:rsidRDefault="00A22214" w:rsidP="00CF2B53">
      <w:pPr>
        <w:pStyle w:val="Heading1"/>
        <w:tabs>
          <w:tab w:val="left" w:pos="3544"/>
        </w:tabs>
        <w:spacing w:before="0" w:after="200" w:line="240" w:lineRule="auto"/>
        <w:jc w:val="left"/>
      </w:pPr>
      <w:r w:rsidRPr="00DA35AE">
        <w:t>POLICY</w:t>
      </w:r>
      <w:r>
        <w:t xml:space="preserve"> COMMUNICATION</w:t>
      </w:r>
    </w:p>
    <w:p w14:paraId="06B6DB9A" w14:textId="77777777" w:rsidR="00FA3203" w:rsidRPr="00FA3203" w:rsidRDefault="00FA3203" w:rsidP="00A16AD0">
      <w:pPr>
        <w:pStyle w:val="Default"/>
        <w:spacing w:before="120" w:after="200" w:line="276" w:lineRule="auto"/>
        <w:ind w:right="130"/>
        <w:rPr>
          <w:color w:val="auto"/>
        </w:rPr>
      </w:pPr>
      <w:r w:rsidRPr="00FA3203">
        <w:rPr>
          <w:color w:val="auto"/>
        </w:rPr>
        <w:t xml:space="preserve">The interest rates being used shall be made available on the City’s development charges website. The interest rates shall also be published as part of the City’s development charges pamphlet publication. </w:t>
      </w:r>
    </w:p>
    <w:p w14:paraId="61AE1774" w14:textId="77777777" w:rsidR="00A22214" w:rsidRDefault="00A22214" w:rsidP="00CF2B53">
      <w:pPr>
        <w:pStyle w:val="Heading1"/>
        <w:tabs>
          <w:tab w:val="left" w:pos="3544"/>
        </w:tabs>
        <w:spacing w:before="0" w:after="200" w:line="240" w:lineRule="auto"/>
        <w:jc w:val="left"/>
      </w:pPr>
      <w:r>
        <w:t>RELATED PROCEDURES</w:t>
      </w:r>
    </w:p>
    <w:p w14:paraId="5763A146" w14:textId="05FFDB00" w:rsidR="00A22214" w:rsidRPr="00A16AD0" w:rsidRDefault="00C11160" w:rsidP="00A16AD0">
      <w:pPr>
        <w:pStyle w:val="Default"/>
        <w:spacing w:before="120" w:after="200" w:line="276" w:lineRule="auto"/>
        <w:ind w:right="130"/>
      </w:pPr>
      <w:r>
        <w:t xml:space="preserve">There are no related </w:t>
      </w:r>
      <w:r w:rsidRPr="00A16AD0">
        <w:rPr>
          <w:color w:val="auto"/>
        </w:rPr>
        <w:t>procedures</w:t>
      </w:r>
      <w:r>
        <w:t>.</w:t>
      </w:r>
    </w:p>
    <w:p w14:paraId="0004DD60" w14:textId="77777777" w:rsidR="00C11160" w:rsidRDefault="00A22214" w:rsidP="00CF2B53">
      <w:pPr>
        <w:pStyle w:val="Heading1"/>
        <w:tabs>
          <w:tab w:val="left" w:pos="3544"/>
        </w:tabs>
        <w:spacing w:before="0" w:after="200" w:line="240" w:lineRule="auto"/>
        <w:jc w:val="left"/>
      </w:pPr>
      <w:r>
        <w:t>RELATED DOCUMENTS/LEGISLATION</w:t>
      </w:r>
    </w:p>
    <w:p w14:paraId="0D56775E" w14:textId="1B9E3210" w:rsidR="008D4576" w:rsidRPr="00B40133" w:rsidRDefault="00FA3203" w:rsidP="00CD6316">
      <w:pPr>
        <w:pStyle w:val="Default"/>
        <w:spacing w:before="120" w:after="200" w:line="276" w:lineRule="auto"/>
        <w:ind w:right="130"/>
        <w:rPr>
          <w:b/>
          <w:bCs/>
        </w:rPr>
      </w:pPr>
      <w:r w:rsidRPr="00FA3203">
        <w:t xml:space="preserve">Development Charges Act S.O. 1997, c. 27, as </w:t>
      </w:r>
      <w:r w:rsidRPr="00A16AD0">
        <w:rPr>
          <w:color w:val="auto"/>
        </w:rPr>
        <w:t>amended</w:t>
      </w:r>
      <w:r w:rsidRPr="00FA3203">
        <w:t xml:space="preserve"> and all regulations thereto.</w:t>
      </w:r>
    </w:p>
    <w:sectPr w:rsidR="008D4576" w:rsidRPr="00B40133" w:rsidSect="00C75C72">
      <w:headerReference w:type="default" r:id="rId11"/>
      <w:footerReference w:type="default" r:id="rId12"/>
      <w:pgSz w:w="12240" w:h="15840" w:code="1"/>
      <w:pgMar w:top="1440" w:right="1325" w:bottom="1440" w:left="1440" w:header="28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C55B4" w14:textId="77777777" w:rsidR="007B4F22" w:rsidRDefault="007B4F22" w:rsidP="007A7472">
      <w:r>
        <w:separator/>
      </w:r>
    </w:p>
  </w:endnote>
  <w:endnote w:type="continuationSeparator" w:id="0">
    <w:p w14:paraId="2E833881" w14:textId="77777777" w:rsidR="007B4F22" w:rsidRDefault="007B4F22" w:rsidP="007A7472">
      <w:r>
        <w:continuationSeparator/>
      </w:r>
    </w:p>
  </w:endnote>
  <w:endnote w:type="continuationNotice" w:id="1">
    <w:p w14:paraId="67D5328A" w14:textId="77777777" w:rsidR="007B4F22" w:rsidRDefault="007B4F22">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Univers 45 Light">
    <w:altName w:val="Calibri"/>
    <w:charset w:val="00"/>
    <w:family w:val="auto"/>
    <w:pitch w:val="variable"/>
    <w:sig w:usb0="8000002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26092" w14:textId="27C84D0A" w:rsidR="00AC7793" w:rsidRDefault="00AC7793" w:rsidP="00AC7793">
    <w:pPr>
      <w:pStyle w:val="Footer"/>
      <w:ind w:left="-1170"/>
    </w:pPr>
    <w:r>
      <w:rPr>
        <w:noProof/>
      </w:rPr>
      <w:drawing>
        <wp:inline distT="0" distB="0" distL="0" distR="0" wp14:anchorId="4A40352D" wp14:editId="13D4F00F">
          <wp:extent cx="7413839" cy="219710"/>
          <wp:effectExtent l="0" t="0" r="0" b="8890"/>
          <wp:docPr id="31095452" name="Picture 31095452" title="Footer: Inclusiveness, Respect, Integrity,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IS72Hight.png"/>
                  <pic:cNvPicPr/>
                </pic:nvPicPr>
                <pic:blipFill>
                  <a:blip r:embed="rId1">
                    <a:extLst>
                      <a:ext uri="{28A0092B-C50C-407E-A947-70E740481C1C}">
                        <a14:useLocalDpi xmlns:a14="http://schemas.microsoft.com/office/drawing/2010/main" val="0"/>
                      </a:ext>
                    </a:extLst>
                  </a:blip>
                  <a:stretch>
                    <a:fillRect/>
                  </a:stretch>
                </pic:blipFill>
                <pic:spPr>
                  <a:xfrm>
                    <a:off x="0" y="0"/>
                    <a:ext cx="7728577" cy="22903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8D795" w14:textId="77777777" w:rsidR="007B4F22" w:rsidRDefault="007B4F22" w:rsidP="007A7472">
      <w:r>
        <w:separator/>
      </w:r>
    </w:p>
  </w:footnote>
  <w:footnote w:type="continuationSeparator" w:id="0">
    <w:p w14:paraId="4C6A1414" w14:textId="77777777" w:rsidR="007B4F22" w:rsidRDefault="007B4F22" w:rsidP="007A7472">
      <w:r>
        <w:continuationSeparator/>
      </w:r>
    </w:p>
  </w:footnote>
  <w:footnote w:type="continuationNotice" w:id="1">
    <w:p w14:paraId="0458DA88" w14:textId="77777777" w:rsidR="007B4F22" w:rsidRDefault="007B4F22">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C4BF1" w14:textId="105615B5" w:rsidR="000307A8" w:rsidRPr="00E22D92" w:rsidRDefault="00AC7793" w:rsidP="00CD2D16">
    <w:pPr>
      <w:pStyle w:val="Header"/>
      <w:spacing w:before="0"/>
    </w:pPr>
    <w:r>
      <w:rPr>
        <w:noProof/>
      </w:rPr>
      <w:drawing>
        <wp:anchor distT="0" distB="0" distL="114300" distR="114300" simplePos="0" relativeHeight="251659264" behindDoc="0" locked="0" layoutInCell="1" allowOverlap="1" wp14:anchorId="518B73B4" wp14:editId="184E2CB4">
          <wp:simplePos x="0" y="0"/>
          <wp:positionH relativeFrom="margin">
            <wp:posOffset>-44450</wp:posOffset>
          </wp:positionH>
          <wp:positionV relativeFrom="paragraph">
            <wp:posOffset>50165</wp:posOffset>
          </wp:positionV>
          <wp:extent cx="840105" cy="628650"/>
          <wp:effectExtent l="0" t="0" r="0" b="0"/>
          <wp:wrapSquare wrapText="bothSides"/>
          <wp:docPr id="824561982" name="Picture 824561982" descr="Image result for city of cambri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cambridge"/>
                  <pic:cNvPicPr>
                    <a:picLocks noChangeAspect="1" noChangeArrowheads="1"/>
                  </pic:cNvPicPr>
                </pic:nvPicPr>
                <pic:blipFill rotWithShape="1">
                  <a:blip r:embed="rId1" cstate="print">
                    <a:extLst>
                      <a:ext uri="{BEBA8EAE-BF5A-486C-A8C5-ECC9F3942E4B}">
                        <a14:imgProps xmlns:a14="http://schemas.microsoft.com/office/drawing/2010/main">
                          <a14:imgLayer r:embed="rId2">
                            <a14:imgEffect>
                              <a14:sharpenSoften amount="50000"/>
                            </a14:imgEffect>
                          </a14:imgLayer>
                        </a14:imgProps>
                      </a:ext>
                      <a:ext uri="{28A0092B-C50C-407E-A947-70E740481C1C}">
                        <a14:useLocalDpi xmlns:a14="http://schemas.microsoft.com/office/drawing/2010/main" val="0"/>
                      </a:ext>
                    </a:extLst>
                  </a:blip>
                  <a:srcRect t="12587" b="12587"/>
                  <a:stretch/>
                </pic:blipFill>
                <pic:spPr bwMode="auto">
                  <a:xfrm>
                    <a:off x="0" y="0"/>
                    <a:ext cx="840105" cy="6286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2CA309E" w14:textId="77777777" w:rsidR="000307A8" w:rsidRPr="00F14E17" w:rsidRDefault="000307A8" w:rsidP="00CD2D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7"/>
    <w:multiLevelType w:val="multilevel"/>
    <w:tmpl w:val="0000088A"/>
    <w:lvl w:ilvl="0">
      <w:start w:val="1"/>
      <w:numFmt w:val="decimal"/>
      <w:lvlText w:val="%1"/>
      <w:lvlJc w:val="left"/>
      <w:pPr>
        <w:ind w:left="839" w:hanging="720"/>
      </w:pPr>
    </w:lvl>
    <w:lvl w:ilvl="1">
      <w:numFmt w:val="decimal"/>
      <w:lvlText w:val="%1.%2"/>
      <w:lvlJc w:val="left"/>
      <w:pPr>
        <w:ind w:left="839" w:hanging="720"/>
      </w:pPr>
      <w:rPr>
        <w:b/>
        <w:bCs/>
        <w:spacing w:val="-1"/>
        <w:w w:val="100"/>
      </w:rPr>
    </w:lvl>
    <w:lvl w:ilvl="2">
      <w:numFmt w:val="bullet"/>
      <w:lvlText w:val=""/>
      <w:lvlJc w:val="left"/>
      <w:pPr>
        <w:ind w:left="1620" w:hanging="361"/>
      </w:pPr>
      <w:rPr>
        <w:rFonts w:ascii="Symbol" w:hAnsi="Symbol" w:cs="Symbol"/>
        <w:b w:val="0"/>
        <w:bCs w:val="0"/>
        <w:w w:val="99"/>
        <w:sz w:val="22"/>
        <w:szCs w:val="22"/>
      </w:rPr>
    </w:lvl>
    <w:lvl w:ilvl="3">
      <w:numFmt w:val="bullet"/>
      <w:lvlText w:val="•"/>
      <w:lvlJc w:val="left"/>
      <w:pPr>
        <w:ind w:left="3424" w:hanging="361"/>
      </w:pPr>
    </w:lvl>
    <w:lvl w:ilvl="4">
      <w:numFmt w:val="bullet"/>
      <w:lvlText w:val="•"/>
      <w:lvlJc w:val="left"/>
      <w:pPr>
        <w:ind w:left="4326" w:hanging="361"/>
      </w:pPr>
    </w:lvl>
    <w:lvl w:ilvl="5">
      <w:numFmt w:val="bullet"/>
      <w:lvlText w:val="•"/>
      <w:lvlJc w:val="left"/>
      <w:pPr>
        <w:ind w:left="5228" w:hanging="361"/>
      </w:pPr>
    </w:lvl>
    <w:lvl w:ilvl="6">
      <w:numFmt w:val="bullet"/>
      <w:lvlText w:val="•"/>
      <w:lvlJc w:val="left"/>
      <w:pPr>
        <w:ind w:left="6131" w:hanging="361"/>
      </w:pPr>
    </w:lvl>
    <w:lvl w:ilvl="7">
      <w:numFmt w:val="bullet"/>
      <w:lvlText w:val="•"/>
      <w:lvlJc w:val="left"/>
      <w:pPr>
        <w:ind w:left="7033" w:hanging="361"/>
      </w:pPr>
    </w:lvl>
    <w:lvl w:ilvl="8">
      <w:numFmt w:val="bullet"/>
      <w:lvlText w:val="•"/>
      <w:lvlJc w:val="left"/>
      <w:pPr>
        <w:ind w:left="7935" w:hanging="361"/>
      </w:pPr>
    </w:lvl>
  </w:abstractNum>
  <w:abstractNum w:abstractNumId="1" w15:restartNumberingAfterBreak="0">
    <w:nsid w:val="0000041B"/>
    <w:multiLevelType w:val="multilevel"/>
    <w:tmpl w:val="0000089E"/>
    <w:lvl w:ilvl="0">
      <w:numFmt w:val="bullet"/>
      <w:lvlText w:val=""/>
      <w:lvlJc w:val="left"/>
      <w:pPr>
        <w:ind w:left="1559" w:hanging="361"/>
      </w:pPr>
      <w:rPr>
        <w:rFonts w:ascii="Symbol" w:hAnsi="Symbol" w:cs="Symbol"/>
        <w:b w:val="0"/>
        <w:bCs w:val="0"/>
        <w:w w:val="99"/>
        <w:sz w:val="22"/>
        <w:szCs w:val="22"/>
      </w:rPr>
    </w:lvl>
    <w:lvl w:ilvl="1">
      <w:numFmt w:val="bullet"/>
      <w:lvlText w:val="•"/>
      <w:lvlJc w:val="left"/>
      <w:pPr>
        <w:ind w:left="2378" w:hanging="361"/>
      </w:pPr>
    </w:lvl>
    <w:lvl w:ilvl="2">
      <w:numFmt w:val="bullet"/>
      <w:lvlText w:val="•"/>
      <w:lvlJc w:val="left"/>
      <w:pPr>
        <w:ind w:left="3196" w:hanging="361"/>
      </w:pPr>
    </w:lvl>
    <w:lvl w:ilvl="3">
      <w:numFmt w:val="bullet"/>
      <w:lvlText w:val="•"/>
      <w:lvlJc w:val="left"/>
      <w:pPr>
        <w:ind w:left="4014" w:hanging="361"/>
      </w:pPr>
    </w:lvl>
    <w:lvl w:ilvl="4">
      <w:numFmt w:val="bullet"/>
      <w:lvlText w:val="•"/>
      <w:lvlJc w:val="left"/>
      <w:pPr>
        <w:ind w:left="4832" w:hanging="361"/>
      </w:pPr>
    </w:lvl>
    <w:lvl w:ilvl="5">
      <w:numFmt w:val="bullet"/>
      <w:lvlText w:val="•"/>
      <w:lvlJc w:val="left"/>
      <w:pPr>
        <w:ind w:left="5650" w:hanging="361"/>
      </w:pPr>
    </w:lvl>
    <w:lvl w:ilvl="6">
      <w:numFmt w:val="bullet"/>
      <w:lvlText w:val="•"/>
      <w:lvlJc w:val="left"/>
      <w:pPr>
        <w:ind w:left="6468" w:hanging="361"/>
      </w:pPr>
    </w:lvl>
    <w:lvl w:ilvl="7">
      <w:numFmt w:val="bullet"/>
      <w:lvlText w:val="•"/>
      <w:lvlJc w:val="left"/>
      <w:pPr>
        <w:ind w:left="7286" w:hanging="361"/>
      </w:pPr>
    </w:lvl>
    <w:lvl w:ilvl="8">
      <w:numFmt w:val="bullet"/>
      <w:lvlText w:val="•"/>
      <w:lvlJc w:val="left"/>
      <w:pPr>
        <w:ind w:left="8104" w:hanging="361"/>
      </w:pPr>
    </w:lvl>
  </w:abstractNum>
  <w:abstractNum w:abstractNumId="2" w15:restartNumberingAfterBreak="0">
    <w:nsid w:val="02940F63"/>
    <w:multiLevelType w:val="hybridMultilevel"/>
    <w:tmpl w:val="8CF40598"/>
    <w:lvl w:ilvl="0" w:tplc="04090017">
      <w:start w:val="1"/>
      <w:numFmt w:val="lowerLetter"/>
      <w:lvlText w:val="%1)"/>
      <w:lvlJc w:val="left"/>
      <w:pPr>
        <w:ind w:left="360" w:hanging="360"/>
      </w:pPr>
      <w:rPr>
        <w:rFonts w:hint="default"/>
      </w:rPr>
    </w:lvl>
    <w:lvl w:ilvl="1" w:tplc="1A6E7154">
      <w:start w:val="1"/>
      <w:numFmt w:val="decimal"/>
      <w:lvlText w:val="%2."/>
      <w:lvlJc w:val="left"/>
      <w:pPr>
        <w:ind w:left="1080" w:hanging="360"/>
      </w:pPr>
      <w:rPr>
        <w:rFonts w:hint="default"/>
        <w:b/>
      </w:rPr>
    </w:lvl>
    <w:lvl w:ilvl="2" w:tplc="0409001B">
      <w:start w:val="1"/>
      <w:numFmt w:val="lowerRoman"/>
      <w:lvlText w:val="%3."/>
      <w:lvlJc w:val="right"/>
      <w:pPr>
        <w:ind w:left="1800" w:hanging="180"/>
      </w:pPr>
    </w:lvl>
    <w:lvl w:ilvl="3" w:tplc="04090017">
      <w:start w:val="1"/>
      <w:numFmt w:val="lowerLetter"/>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EE5356"/>
    <w:multiLevelType w:val="hybridMultilevel"/>
    <w:tmpl w:val="96A6FB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C66FD3"/>
    <w:multiLevelType w:val="hybridMultilevel"/>
    <w:tmpl w:val="64849F36"/>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DBF07B3"/>
    <w:multiLevelType w:val="hybridMultilevel"/>
    <w:tmpl w:val="136C7D9E"/>
    <w:lvl w:ilvl="0" w:tplc="6FB62F4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F125DDD"/>
    <w:multiLevelType w:val="singleLevel"/>
    <w:tmpl w:val="04090017"/>
    <w:lvl w:ilvl="0">
      <w:start w:val="1"/>
      <w:numFmt w:val="lowerLetter"/>
      <w:lvlText w:val="%1)"/>
      <w:lvlJc w:val="left"/>
      <w:pPr>
        <w:ind w:left="360" w:hanging="360"/>
      </w:pPr>
      <w:rPr>
        <w:rFonts w:hint="default"/>
        <w:color w:val="auto"/>
        <w:sz w:val="24"/>
      </w:rPr>
    </w:lvl>
  </w:abstractNum>
  <w:abstractNum w:abstractNumId="7" w15:restartNumberingAfterBreak="0">
    <w:nsid w:val="14203B31"/>
    <w:multiLevelType w:val="hybridMultilevel"/>
    <w:tmpl w:val="DA14BBCC"/>
    <w:lvl w:ilvl="0" w:tplc="1BF25564">
      <w:numFmt w:val="bullet"/>
      <w:pStyle w:val="ListParagraph"/>
      <w:lvlText w:val=""/>
      <w:lvlJc w:val="left"/>
      <w:pPr>
        <w:ind w:left="720" w:hanging="360"/>
      </w:pPr>
      <w:rPr>
        <w:rFonts w:ascii="Wingdings" w:hAnsi="Wingdings" w:hint="default"/>
        <w:color w:val="154663"/>
      </w:rPr>
    </w:lvl>
    <w:lvl w:ilvl="1" w:tplc="EC869206">
      <w:start w:val="1"/>
      <w:numFmt w:val="bullet"/>
      <w:lvlText w:val=""/>
      <w:lvlJc w:val="left"/>
      <w:pPr>
        <w:ind w:left="720" w:hanging="360"/>
      </w:pPr>
      <w:rPr>
        <w:rFonts w:ascii="Wingdings" w:hAnsi="Wingdings" w:hint="default"/>
        <w:color w:val="808080" w:themeColor="background1" w:themeShade="80"/>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15D708F5"/>
    <w:multiLevelType w:val="hybridMultilevel"/>
    <w:tmpl w:val="7D70C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0C266D"/>
    <w:multiLevelType w:val="hybridMultilevel"/>
    <w:tmpl w:val="401E09E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857783"/>
    <w:multiLevelType w:val="hybridMultilevel"/>
    <w:tmpl w:val="5BD800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CE2C61"/>
    <w:multiLevelType w:val="hybridMultilevel"/>
    <w:tmpl w:val="8346B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094F92"/>
    <w:multiLevelType w:val="hybridMultilevel"/>
    <w:tmpl w:val="B83A1C9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2AB2360B"/>
    <w:multiLevelType w:val="hybridMultilevel"/>
    <w:tmpl w:val="A52AD780"/>
    <w:lvl w:ilvl="0" w:tplc="EA1CE1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32292"/>
    <w:multiLevelType w:val="hybridMultilevel"/>
    <w:tmpl w:val="A06E1692"/>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39151E"/>
    <w:multiLevelType w:val="hybridMultilevel"/>
    <w:tmpl w:val="B502B3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F91172"/>
    <w:multiLevelType w:val="hybridMultilevel"/>
    <w:tmpl w:val="0F5203B4"/>
    <w:lvl w:ilvl="0" w:tplc="6FB62F4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3927AA2"/>
    <w:multiLevelType w:val="hybridMultilevel"/>
    <w:tmpl w:val="B37644FA"/>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B20AAD"/>
    <w:multiLevelType w:val="hybridMultilevel"/>
    <w:tmpl w:val="7A00B4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D14698"/>
    <w:multiLevelType w:val="hybridMultilevel"/>
    <w:tmpl w:val="D148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E754C4"/>
    <w:multiLevelType w:val="hybridMultilevel"/>
    <w:tmpl w:val="703ACB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B517A5B"/>
    <w:multiLevelType w:val="hybridMultilevel"/>
    <w:tmpl w:val="8D68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4972F6"/>
    <w:multiLevelType w:val="hybridMultilevel"/>
    <w:tmpl w:val="42AE6C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3057DD0"/>
    <w:multiLevelType w:val="multilevel"/>
    <w:tmpl w:val="A4F2572C"/>
    <w:lvl w:ilvl="0">
      <w:start w:val="1"/>
      <w:numFmt w:val="decimal"/>
      <w:lvlText w:val="%1."/>
      <w:lvlJc w:val="left"/>
      <w:pPr>
        <w:ind w:left="720" w:hanging="360"/>
      </w:pPr>
      <w:rPr>
        <w:rFonts w:hint="default"/>
      </w:rPr>
    </w:lvl>
    <w:lvl w:ilvl="1">
      <w:start w:val="1"/>
      <w:numFmt w:val="decimal"/>
      <w:pStyle w:val="Heading2"/>
      <w:isLgl/>
      <w:lvlText w:val="%1.%2"/>
      <w:lvlJc w:val="left"/>
      <w:pPr>
        <w:ind w:left="750" w:hanging="39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637144C4"/>
    <w:multiLevelType w:val="hybridMultilevel"/>
    <w:tmpl w:val="A06E169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E00952"/>
    <w:multiLevelType w:val="hybridMultilevel"/>
    <w:tmpl w:val="81F04318"/>
    <w:lvl w:ilvl="0" w:tplc="5A48197E">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8C4811"/>
    <w:multiLevelType w:val="hybridMultilevel"/>
    <w:tmpl w:val="64849F36"/>
    <w:lvl w:ilvl="0" w:tplc="20F0ED8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C09513E"/>
    <w:multiLevelType w:val="hybridMultilevel"/>
    <w:tmpl w:val="FEA6D24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FEB4893"/>
    <w:multiLevelType w:val="hybridMultilevel"/>
    <w:tmpl w:val="1A103CE6"/>
    <w:lvl w:ilvl="0" w:tplc="6FB62F4E">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1FD53B7"/>
    <w:multiLevelType w:val="hybridMultilevel"/>
    <w:tmpl w:val="A7C4B3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30893333">
    <w:abstractNumId w:val="23"/>
  </w:num>
  <w:num w:numId="2" w16cid:durableId="331883460">
    <w:abstractNumId w:val="7"/>
  </w:num>
  <w:num w:numId="3" w16cid:durableId="165218081">
    <w:abstractNumId w:val="13"/>
  </w:num>
  <w:num w:numId="4" w16cid:durableId="71245485">
    <w:abstractNumId w:val="6"/>
  </w:num>
  <w:num w:numId="5" w16cid:durableId="9451120">
    <w:abstractNumId w:val="0"/>
  </w:num>
  <w:num w:numId="6" w16cid:durableId="1887641797">
    <w:abstractNumId w:val="24"/>
  </w:num>
  <w:num w:numId="7" w16cid:durableId="1747605578">
    <w:abstractNumId w:val="25"/>
  </w:num>
  <w:num w:numId="8" w16cid:durableId="1334724669">
    <w:abstractNumId w:val="2"/>
  </w:num>
  <w:num w:numId="9" w16cid:durableId="1564876800">
    <w:abstractNumId w:val="1"/>
  </w:num>
  <w:num w:numId="10" w16cid:durableId="253100649">
    <w:abstractNumId w:val="11"/>
  </w:num>
  <w:num w:numId="11" w16cid:durableId="1525050892">
    <w:abstractNumId w:val="9"/>
  </w:num>
  <w:num w:numId="12" w16cid:durableId="1546721887">
    <w:abstractNumId w:val="18"/>
  </w:num>
  <w:num w:numId="13" w16cid:durableId="578295071">
    <w:abstractNumId w:val="3"/>
  </w:num>
  <w:num w:numId="14" w16cid:durableId="1810593472">
    <w:abstractNumId w:val="14"/>
  </w:num>
  <w:num w:numId="15" w16cid:durableId="984627676">
    <w:abstractNumId w:val="29"/>
  </w:num>
  <w:num w:numId="16" w16cid:durableId="2098670929">
    <w:abstractNumId w:val="15"/>
  </w:num>
  <w:num w:numId="17" w16cid:durableId="233512727">
    <w:abstractNumId w:val="27"/>
  </w:num>
  <w:num w:numId="18" w16cid:durableId="617100053">
    <w:abstractNumId w:val="22"/>
  </w:num>
  <w:num w:numId="19" w16cid:durableId="42606104">
    <w:abstractNumId w:val="28"/>
  </w:num>
  <w:num w:numId="20" w16cid:durableId="748767468">
    <w:abstractNumId w:val="16"/>
  </w:num>
  <w:num w:numId="21" w16cid:durableId="51316025">
    <w:abstractNumId w:val="5"/>
  </w:num>
  <w:num w:numId="22" w16cid:durableId="2143423268">
    <w:abstractNumId w:val="12"/>
  </w:num>
  <w:num w:numId="23" w16cid:durableId="1809088070">
    <w:abstractNumId w:val="8"/>
  </w:num>
  <w:num w:numId="24" w16cid:durableId="702096051">
    <w:abstractNumId w:val="19"/>
  </w:num>
  <w:num w:numId="25" w16cid:durableId="1511604736">
    <w:abstractNumId w:val="20"/>
  </w:num>
  <w:num w:numId="26" w16cid:durableId="1832334733">
    <w:abstractNumId w:val="26"/>
  </w:num>
  <w:num w:numId="27" w16cid:durableId="1106189563">
    <w:abstractNumId w:val="4"/>
  </w:num>
  <w:num w:numId="28" w16cid:durableId="2052194545">
    <w:abstractNumId w:val="21"/>
  </w:num>
  <w:num w:numId="29" w16cid:durableId="684331476">
    <w:abstractNumId w:val="10"/>
  </w:num>
  <w:num w:numId="30" w16cid:durableId="734280021">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E5"/>
    <w:rsid w:val="00000821"/>
    <w:rsid w:val="000022CC"/>
    <w:rsid w:val="00002E5C"/>
    <w:rsid w:val="00002F1D"/>
    <w:rsid w:val="000032AF"/>
    <w:rsid w:val="0000362F"/>
    <w:rsid w:val="00005DF3"/>
    <w:rsid w:val="0000675F"/>
    <w:rsid w:val="000074BA"/>
    <w:rsid w:val="00007B34"/>
    <w:rsid w:val="000114C9"/>
    <w:rsid w:val="000127D7"/>
    <w:rsid w:val="00015AE6"/>
    <w:rsid w:val="0001764E"/>
    <w:rsid w:val="000207DF"/>
    <w:rsid w:val="00023337"/>
    <w:rsid w:val="0002428C"/>
    <w:rsid w:val="00024379"/>
    <w:rsid w:val="00024C12"/>
    <w:rsid w:val="00025F80"/>
    <w:rsid w:val="00026C7A"/>
    <w:rsid w:val="0003015E"/>
    <w:rsid w:val="000306DF"/>
    <w:rsid w:val="000307A8"/>
    <w:rsid w:val="00030878"/>
    <w:rsid w:val="000314A3"/>
    <w:rsid w:val="00032008"/>
    <w:rsid w:val="00037D38"/>
    <w:rsid w:val="000409B1"/>
    <w:rsid w:val="0004156E"/>
    <w:rsid w:val="00041980"/>
    <w:rsid w:val="00041D23"/>
    <w:rsid w:val="0004266C"/>
    <w:rsid w:val="000432D9"/>
    <w:rsid w:val="00043A51"/>
    <w:rsid w:val="00043BED"/>
    <w:rsid w:val="000456A0"/>
    <w:rsid w:val="0004571E"/>
    <w:rsid w:val="00046429"/>
    <w:rsid w:val="000465D1"/>
    <w:rsid w:val="0004668C"/>
    <w:rsid w:val="00046C23"/>
    <w:rsid w:val="00050069"/>
    <w:rsid w:val="00050979"/>
    <w:rsid w:val="00050CC6"/>
    <w:rsid w:val="000530EF"/>
    <w:rsid w:val="00053EE1"/>
    <w:rsid w:val="00056506"/>
    <w:rsid w:val="00057E78"/>
    <w:rsid w:val="000600D6"/>
    <w:rsid w:val="00060573"/>
    <w:rsid w:val="000606A8"/>
    <w:rsid w:val="00063FB7"/>
    <w:rsid w:val="000707C1"/>
    <w:rsid w:val="000725A1"/>
    <w:rsid w:val="000725F2"/>
    <w:rsid w:val="0007318B"/>
    <w:rsid w:val="000735AB"/>
    <w:rsid w:val="00073B67"/>
    <w:rsid w:val="00075395"/>
    <w:rsid w:val="00083152"/>
    <w:rsid w:val="00083AF6"/>
    <w:rsid w:val="00085402"/>
    <w:rsid w:val="00085834"/>
    <w:rsid w:val="000858EE"/>
    <w:rsid w:val="00085904"/>
    <w:rsid w:val="0009076D"/>
    <w:rsid w:val="00091C33"/>
    <w:rsid w:val="0009306F"/>
    <w:rsid w:val="00094AE1"/>
    <w:rsid w:val="00094B99"/>
    <w:rsid w:val="00096CFD"/>
    <w:rsid w:val="00097777"/>
    <w:rsid w:val="000A082D"/>
    <w:rsid w:val="000A1CB0"/>
    <w:rsid w:val="000A216C"/>
    <w:rsid w:val="000A2557"/>
    <w:rsid w:val="000A340A"/>
    <w:rsid w:val="000A43DE"/>
    <w:rsid w:val="000A55DF"/>
    <w:rsid w:val="000B0309"/>
    <w:rsid w:val="000B23EC"/>
    <w:rsid w:val="000B2DA6"/>
    <w:rsid w:val="000B4389"/>
    <w:rsid w:val="000B6411"/>
    <w:rsid w:val="000B7212"/>
    <w:rsid w:val="000C28AB"/>
    <w:rsid w:val="000C3734"/>
    <w:rsid w:val="000C4B06"/>
    <w:rsid w:val="000C4BB8"/>
    <w:rsid w:val="000C4D89"/>
    <w:rsid w:val="000C5754"/>
    <w:rsid w:val="000C6B94"/>
    <w:rsid w:val="000C6C12"/>
    <w:rsid w:val="000D11EE"/>
    <w:rsid w:val="000D1B69"/>
    <w:rsid w:val="000D29BB"/>
    <w:rsid w:val="000D2D4E"/>
    <w:rsid w:val="000D4996"/>
    <w:rsid w:val="000D4F86"/>
    <w:rsid w:val="000D5613"/>
    <w:rsid w:val="000D5859"/>
    <w:rsid w:val="000D7C55"/>
    <w:rsid w:val="000E0085"/>
    <w:rsid w:val="000E14D1"/>
    <w:rsid w:val="000E263B"/>
    <w:rsid w:val="000E2C0D"/>
    <w:rsid w:val="000E417D"/>
    <w:rsid w:val="000E4592"/>
    <w:rsid w:val="000E4AA3"/>
    <w:rsid w:val="000E5229"/>
    <w:rsid w:val="000E5F35"/>
    <w:rsid w:val="000E6BD5"/>
    <w:rsid w:val="000E73D8"/>
    <w:rsid w:val="000F00CF"/>
    <w:rsid w:val="000F0D19"/>
    <w:rsid w:val="000F172F"/>
    <w:rsid w:val="000F2A0D"/>
    <w:rsid w:val="000F3A99"/>
    <w:rsid w:val="000F42AA"/>
    <w:rsid w:val="000F4BF6"/>
    <w:rsid w:val="000F5059"/>
    <w:rsid w:val="000F550A"/>
    <w:rsid w:val="000F61D3"/>
    <w:rsid w:val="000F6DF1"/>
    <w:rsid w:val="000F7392"/>
    <w:rsid w:val="000F7421"/>
    <w:rsid w:val="001017C5"/>
    <w:rsid w:val="00102500"/>
    <w:rsid w:val="00102EDC"/>
    <w:rsid w:val="00103025"/>
    <w:rsid w:val="00103ABB"/>
    <w:rsid w:val="00104254"/>
    <w:rsid w:val="00105D20"/>
    <w:rsid w:val="00110DA0"/>
    <w:rsid w:val="00116A25"/>
    <w:rsid w:val="001201EA"/>
    <w:rsid w:val="00121089"/>
    <w:rsid w:val="00121C5A"/>
    <w:rsid w:val="00121EAD"/>
    <w:rsid w:val="00121FBA"/>
    <w:rsid w:val="001221FD"/>
    <w:rsid w:val="00122C45"/>
    <w:rsid w:val="00123AF0"/>
    <w:rsid w:val="001257E6"/>
    <w:rsid w:val="0012714C"/>
    <w:rsid w:val="00127FCE"/>
    <w:rsid w:val="00130CA6"/>
    <w:rsid w:val="00130CCC"/>
    <w:rsid w:val="001316A1"/>
    <w:rsid w:val="001317D8"/>
    <w:rsid w:val="00132FA1"/>
    <w:rsid w:val="0013371C"/>
    <w:rsid w:val="00133997"/>
    <w:rsid w:val="00137866"/>
    <w:rsid w:val="00137AC4"/>
    <w:rsid w:val="00137AF1"/>
    <w:rsid w:val="00140DB5"/>
    <w:rsid w:val="00142E54"/>
    <w:rsid w:val="00143C02"/>
    <w:rsid w:val="00144406"/>
    <w:rsid w:val="001445FB"/>
    <w:rsid w:val="00145C16"/>
    <w:rsid w:val="00145CDA"/>
    <w:rsid w:val="00145D0F"/>
    <w:rsid w:val="00146A76"/>
    <w:rsid w:val="001539E8"/>
    <w:rsid w:val="0015492C"/>
    <w:rsid w:val="0015657F"/>
    <w:rsid w:val="0015676F"/>
    <w:rsid w:val="00156D50"/>
    <w:rsid w:val="001610BE"/>
    <w:rsid w:val="001633DE"/>
    <w:rsid w:val="00164370"/>
    <w:rsid w:val="00166C6C"/>
    <w:rsid w:val="001728EA"/>
    <w:rsid w:val="00173895"/>
    <w:rsid w:val="00177006"/>
    <w:rsid w:val="00181106"/>
    <w:rsid w:val="001815AC"/>
    <w:rsid w:val="00181F32"/>
    <w:rsid w:val="0018248E"/>
    <w:rsid w:val="00185A40"/>
    <w:rsid w:val="00185B07"/>
    <w:rsid w:val="00187807"/>
    <w:rsid w:val="001916D3"/>
    <w:rsid w:val="00192998"/>
    <w:rsid w:val="00193E40"/>
    <w:rsid w:val="00194477"/>
    <w:rsid w:val="0019467C"/>
    <w:rsid w:val="00197334"/>
    <w:rsid w:val="001A2BE3"/>
    <w:rsid w:val="001A4102"/>
    <w:rsid w:val="001A4707"/>
    <w:rsid w:val="001A5C6B"/>
    <w:rsid w:val="001A5EDA"/>
    <w:rsid w:val="001A6EF1"/>
    <w:rsid w:val="001A70B7"/>
    <w:rsid w:val="001A76A8"/>
    <w:rsid w:val="001A77BE"/>
    <w:rsid w:val="001B03C1"/>
    <w:rsid w:val="001B20E3"/>
    <w:rsid w:val="001B2488"/>
    <w:rsid w:val="001B2E82"/>
    <w:rsid w:val="001B60AF"/>
    <w:rsid w:val="001C023E"/>
    <w:rsid w:val="001C047A"/>
    <w:rsid w:val="001C126C"/>
    <w:rsid w:val="001C13C9"/>
    <w:rsid w:val="001C35B5"/>
    <w:rsid w:val="001C5555"/>
    <w:rsid w:val="001C6DD2"/>
    <w:rsid w:val="001C7C00"/>
    <w:rsid w:val="001D272D"/>
    <w:rsid w:val="001D4E70"/>
    <w:rsid w:val="001D52EE"/>
    <w:rsid w:val="001D69BF"/>
    <w:rsid w:val="001E01FF"/>
    <w:rsid w:val="001E04CA"/>
    <w:rsid w:val="001E1FD9"/>
    <w:rsid w:val="001E3305"/>
    <w:rsid w:val="001E37D8"/>
    <w:rsid w:val="001E4220"/>
    <w:rsid w:val="001E463F"/>
    <w:rsid w:val="001E5AE1"/>
    <w:rsid w:val="001E5CC2"/>
    <w:rsid w:val="001E6BF0"/>
    <w:rsid w:val="001E77FE"/>
    <w:rsid w:val="001F20AF"/>
    <w:rsid w:val="001F5393"/>
    <w:rsid w:val="001F63F0"/>
    <w:rsid w:val="001F6A83"/>
    <w:rsid w:val="001F706D"/>
    <w:rsid w:val="001F770D"/>
    <w:rsid w:val="002007D4"/>
    <w:rsid w:val="00201176"/>
    <w:rsid w:val="002045D3"/>
    <w:rsid w:val="00204CC3"/>
    <w:rsid w:val="0020526C"/>
    <w:rsid w:val="00205696"/>
    <w:rsid w:val="00205EF4"/>
    <w:rsid w:val="00206DC5"/>
    <w:rsid w:val="002118D9"/>
    <w:rsid w:val="00213330"/>
    <w:rsid w:val="00213DF9"/>
    <w:rsid w:val="00214D5B"/>
    <w:rsid w:val="002150A4"/>
    <w:rsid w:val="00217424"/>
    <w:rsid w:val="0021755C"/>
    <w:rsid w:val="00217949"/>
    <w:rsid w:val="00220ABD"/>
    <w:rsid w:val="002218B0"/>
    <w:rsid w:val="00221BDB"/>
    <w:rsid w:val="00222CAE"/>
    <w:rsid w:val="00222EA5"/>
    <w:rsid w:val="002233DB"/>
    <w:rsid w:val="00223656"/>
    <w:rsid w:val="002257C7"/>
    <w:rsid w:val="00225F3F"/>
    <w:rsid w:val="002263B6"/>
    <w:rsid w:val="0022737F"/>
    <w:rsid w:val="00227A2B"/>
    <w:rsid w:val="00227D0E"/>
    <w:rsid w:val="002305A7"/>
    <w:rsid w:val="002306B1"/>
    <w:rsid w:val="00231CEC"/>
    <w:rsid w:val="00232064"/>
    <w:rsid w:val="00232DCA"/>
    <w:rsid w:val="0024129E"/>
    <w:rsid w:val="0024490C"/>
    <w:rsid w:val="00245745"/>
    <w:rsid w:val="002470B5"/>
    <w:rsid w:val="002478AE"/>
    <w:rsid w:val="00247CCC"/>
    <w:rsid w:val="002525F7"/>
    <w:rsid w:val="00252A13"/>
    <w:rsid w:val="00252A78"/>
    <w:rsid w:val="0025392E"/>
    <w:rsid w:val="00254070"/>
    <w:rsid w:val="002552B9"/>
    <w:rsid w:val="00255DA8"/>
    <w:rsid w:val="00255F02"/>
    <w:rsid w:val="00257A29"/>
    <w:rsid w:val="00257A80"/>
    <w:rsid w:val="00260003"/>
    <w:rsid w:val="002628C6"/>
    <w:rsid w:val="002633E8"/>
    <w:rsid w:val="002648E6"/>
    <w:rsid w:val="0026515D"/>
    <w:rsid w:val="00267754"/>
    <w:rsid w:val="00270E81"/>
    <w:rsid w:val="00270F86"/>
    <w:rsid w:val="00271710"/>
    <w:rsid w:val="00272282"/>
    <w:rsid w:val="00272310"/>
    <w:rsid w:val="0027294D"/>
    <w:rsid w:val="002753FB"/>
    <w:rsid w:val="00276BAA"/>
    <w:rsid w:val="002776ED"/>
    <w:rsid w:val="00282665"/>
    <w:rsid w:val="00284829"/>
    <w:rsid w:val="0028530C"/>
    <w:rsid w:val="002861BC"/>
    <w:rsid w:val="002901A3"/>
    <w:rsid w:val="00292F60"/>
    <w:rsid w:val="00293AE3"/>
    <w:rsid w:val="00294BBA"/>
    <w:rsid w:val="00296EAB"/>
    <w:rsid w:val="00296ED4"/>
    <w:rsid w:val="00297892"/>
    <w:rsid w:val="00297C26"/>
    <w:rsid w:val="00297D46"/>
    <w:rsid w:val="00297DBB"/>
    <w:rsid w:val="002A2DD4"/>
    <w:rsid w:val="002A6696"/>
    <w:rsid w:val="002A67F8"/>
    <w:rsid w:val="002B0A7F"/>
    <w:rsid w:val="002B26F0"/>
    <w:rsid w:val="002B2D30"/>
    <w:rsid w:val="002B3013"/>
    <w:rsid w:val="002B35DD"/>
    <w:rsid w:val="002B3D36"/>
    <w:rsid w:val="002B403B"/>
    <w:rsid w:val="002B52EC"/>
    <w:rsid w:val="002B54B3"/>
    <w:rsid w:val="002B5727"/>
    <w:rsid w:val="002B606A"/>
    <w:rsid w:val="002B6AD2"/>
    <w:rsid w:val="002B6DC7"/>
    <w:rsid w:val="002C0627"/>
    <w:rsid w:val="002C114C"/>
    <w:rsid w:val="002C257A"/>
    <w:rsid w:val="002C4A5B"/>
    <w:rsid w:val="002C5685"/>
    <w:rsid w:val="002C585B"/>
    <w:rsid w:val="002C5F3A"/>
    <w:rsid w:val="002C77B7"/>
    <w:rsid w:val="002D0B92"/>
    <w:rsid w:val="002D1159"/>
    <w:rsid w:val="002D18DD"/>
    <w:rsid w:val="002D46B1"/>
    <w:rsid w:val="002D4A2E"/>
    <w:rsid w:val="002D52C4"/>
    <w:rsid w:val="002D5470"/>
    <w:rsid w:val="002D5B0E"/>
    <w:rsid w:val="002D5D73"/>
    <w:rsid w:val="002D6AE9"/>
    <w:rsid w:val="002D6CE3"/>
    <w:rsid w:val="002D7DB9"/>
    <w:rsid w:val="002D7E26"/>
    <w:rsid w:val="002E14D1"/>
    <w:rsid w:val="002E640A"/>
    <w:rsid w:val="002E6B19"/>
    <w:rsid w:val="002E747F"/>
    <w:rsid w:val="002F2210"/>
    <w:rsid w:val="002F441F"/>
    <w:rsid w:val="002F5AD3"/>
    <w:rsid w:val="002F79BC"/>
    <w:rsid w:val="003005EE"/>
    <w:rsid w:val="003014C1"/>
    <w:rsid w:val="00301B12"/>
    <w:rsid w:val="00301B2C"/>
    <w:rsid w:val="003031BA"/>
    <w:rsid w:val="00304450"/>
    <w:rsid w:val="00304896"/>
    <w:rsid w:val="00305C47"/>
    <w:rsid w:val="00305E62"/>
    <w:rsid w:val="00306274"/>
    <w:rsid w:val="003071F8"/>
    <w:rsid w:val="0031159D"/>
    <w:rsid w:val="003119A4"/>
    <w:rsid w:val="003123F1"/>
    <w:rsid w:val="00312FE5"/>
    <w:rsid w:val="0031328C"/>
    <w:rsid w:val="0031571C"/>
    <w:rsid w:val="00317673"/>
    <w:rsid w:val="00317F95"/>
    <w:rsid w:val="00321AE6"/>
    <w:rsid w:val="00323D77"/>
    <w:rsid w:val="00327853"/>
    <w:rsid w:val="00327EC3"/>
    <w:rsid w:val="0033028F"/>
    <w:rsid w:val="00331233"/>
    <w:rsid w:val="00331540"/>
    <w:rsid w:val="00331D6A"/>
    <w:rsid w:val="00332037"/>
    <w:rsid w:val="00332779"/>
    <w:rsid w:val="00332E82"/>
    <w:rsid w:val="00333CD0"/>
    <w:rsid w:val="003344AE"/>
    <w:rsid w:val="00334626"/>
    <w:rsid w:val="003350B2"/>
    <w:rsid w:val="00343B90"/>
    <w:rsid w:val="003456D7"/>
    <w:rsid w:val="00345B9C"/>
    <w:rsid w:val="00345F17"/>
    <w:rsid w:val="003463DD"/>
    <w:rsid w:val="00347D9B"/>
    <w:rsid w:val="0035147C"/>
    <w:rsid w:val="00351BC0"/>
    <w:rsid w:val="00352FCB"/>
    <w:rsid w:val="00353B31"/>
    <w:rsid w:val="00354F20"/>
    <w:rsid w:val="00355513"/>
    <w:rsid w:val="00361805"/>
    <w:rsid w:val="00361F8F"/>
    <w:rsid w:val="00363E56"/>
    <w:rsid w:val="0036606A"/>
    <w:rsid w:val="00366252"/>
    <w:rsid w:val="00367EFC"/>
    <w:rsid w:val="003701EC"/>
    <w:rsid w:val="00370F29"/>
    <w:rsid w:val="00372CB2"/>
    <w:rsid w:val="0037350D"/>
    <w:rsid w:val="00377E29"/>
    <w:rsid w:val="00381F5A"/>
    <w:rsid w:val="003823EC"/>
    <w:rsid w:val="00384E69"/>
    <w:rsid w:val="00385890"/>
    <w:rsid w:val="003860E2"/>
    <w:rsid w:val="00386469"/>
    <w:rsid w:val="00390CC1"/>
    <w:rsid w:val="003921AB"/>
    <w:rsid w:val="00394AE0"/>
    <w:rsid w:val="00395635"/>
    <w:rsid w:val="003956C2"/>
    <w:rsid w:val="003969C4"/>
    <w:rsid w:val="0039713F"/>
    <w:rsid w:val="003A0C0D"/>
    <w:rsid w:val="003A0F4C"/>
    <w:rsid w:val="003A19AF"/>
    <w:rsid w:val="003A48BB"/>
    <w:rsid w:val="003A4EE0"/>
    <w:rsid w:val="003A772A"/>
    <w:rsid w:val="003A772F"/>
    <w:rsid w:val="003B0153"/>
    <w:rsid w:val="003B0B0E"/>
    <w:rsid w:val="003B0FBA"/>
    <w:rsid w:val="003B132B"/>
    <w:rsid w:val="003B24C8"/>
    <w:rsid w:val="003B2CD6"/>
    <w:rsid w:val="003B56F9"/>
    <w:rsid w:val="003B72AD"/>
    <w:rsid w:val="003B7893"/>
    <w:rsid w:val="003C29B6"/>
    <w:rsid w:val="003C59A2"/>
    <w:rsid w:val="003C74C8"/>
    <w:rsid w:val="003D0895"/>
    <w:rsid w:val="003D3DCE"/>
    <w:rsid w:val="003D3E34"/>
    <w:rsid w:val="003D5BB5"/>
    <w:rsid w:val="003E1E0C"/>
    <w:rsid w:val="003E2ED2"/>
    <w:rsid w:val="003E3175"/>
    <w:rsid w:val="003E4D0F"/>
    <w:rsid w:val="003E4FD9"/>
    <w:rsid w:val="003E5344"/>
    <w:rsid w:val="003F048F"/>
    <w:rsid w:val="003F1D40"/>
    <w:rsid w:val="003F409F"/>
    <w:rsid w:val="003F4773"/>
    <w:rsid w:val="003F61B2"/>
    <w:rsid w:val="00400011"/>
    <w:rsid w:val="00406CF2"/>
    <w:rsid w:val="00407F0D"/>
    <w:rsid w:val="00411EC5"/>
    <w:rsid w:val="004140B1"/>
    <w:rsid w:val="004160F6"/>
    <w:rsid w:val="004166A9"/>
    <w:rsid w:val="00416F47"/>
    <w:rsid w:val="00422A0C"/>
    <w:rsid w:val="0042342C"/>
    <w:rsid w:val="00427726"/>
    <w:rsid w:val="00427B2E"/>
    <w:rsid w:val="00431D64"/>
    <w:rsid w:val="00432504"/>
    <w:rsid w:val="00432A7F"/>
    <w:rsid w:val="00432CD4"/>
    <w:rsid w:val="00432F41"/>
    <w:rsid w:val="004357CD"/>
    <w:rsid w:val="004366D3"/>
    <w:rsid w:val="00436AD7"/>
    <w:rsid w:val="00436EC8"/>
    <w:rsid w:val="00437CCD"/>
    <w:rsid w:val="004400D7"/>
    <w:rsid w:val="00440998"/>
    <w:rsid w:val="004409CC"/>
    <w:rsid w:val="0044177E"/>
    <w:rsid w:val="00442A7B"/>
    <w:rsid w:val="00442B59"/>
    <w:rsid w:val="00442B8C"/>
    <w:rsid w:val="0044427F"/>
    <w:rsid w:val="0044757D"/>
    <w:rsid w:val="00447A14"/>
    <w:rsid w:val="00447F5C"/>
    <w:rsid w:val="00450E4A"/>
    <w:rsid w:val="00451ED8"/>
    <w:rsid w:val="004530AB"/>
    <w:rsid w:val="004550E6"/>
    <w:rsid w:val="0045543F"/>
    <w:rsid w:val="00456201"/>
    <w:rsid w:val="00456A0C"/>
    <w:rsid w:val="00460605"/>
    <w:rsid w:val="004639BC"/>
    <w:rsid w:val="004644B3"/>
    <w:rsid w:val="00465A96"/>
    <w:rsid w:val="00467E53"/>
    <w:rsid w:val="0047438F"/>
    <w:rsid w:val="00474433"/>
    <w:rsid w:val="00475B87"/>
    <w:rsid w:val="00481C8D"/>
    <w:rsid w:val="00481CAD"/>
    <w:rsid w:val="00482145"/>
    <w:rsid w:val="00482180"/>
    <w:rsid w:val="004826BC"/>
    <w:rsid w:val="00482A5A"/>
    <w:rsid w:val="00482CBE"/>
    <w:rsid w:val="004832F6"/>
    <w:rsid w:val="00484D0D"/>
    <w:rsid w:val="0048599B"/>
    <w:rsid w:val="00485DDB"/>
    <w:rsid w:val="00486938"/>
    <w:rsid w:val="00490276"/>
    <w:rsid w:val="004924CF"/>
    <w:rsid w:val="00492A9F"/>
    <w:rsid w:val="00493132"/>
    <w:rsid w:val="004938D4"/>
    <w:rsid w:val="00493E57"/>
    <w:rsid w:val="00493FA1"/>
    <w:rsid w:val="004A0503"/>
    <w:rsid w:val="004A3185"/>
    <w:rsid w:val="004A42EE"/>
    <w:rsid w:val="004A55B8"/>
    <w:rsid w:val="004B0417"/>
    <w:rsid w:val="004B0C5C"/>
    <w:rsid w:val="004B0ED4"/>
    <w:rsid w:val="004B29DF"/>
    <w:rsid w:val="004B464C"/>
    <w:rsid w:val="004B4949"/>
    <w:rsid w:val="004B6C39"/>
    <w:rsid w:val="004B7AAD"/>
    <w:rsid w:val="004C148F"/>
    <w:rsid w:val="004C1564"/>
    <w:rsid w:val="004C17A6"/>
    <w:rsid w:val="004C3478"/>
    <w:rsid w:val="004C637A"/>
    <w:rsid w:val="004C6C6F"/>
    <w:rsid w:val="004C740C"/>
    <w:rsid w:val="004C7E98"/>
    <w:rsid w:val="004D0114"/>
    <w:rsid w:val="004D1FE6"/>
    <w:rsid w:val="004D2FD3"/>
    <w:rsid w:val="004D3941"/>
    <w:rsid w:val="004D47B7"/>
    <w:rsid w:val="004D4BC4"/>
    <w:rsid w:val="004D5357"/>
    <w:rsid w:val="004D5AC2"/>
    <w:rsid w:val="004D69B5"/>
    <w:rsid w:val="004D79A0"/>
    <w:rsid w:val="004E05DD"/>
    <w:rsid w:val="004E0CCC"/>
    <w:rsid w:val="004E13D2"/>
    <w:rsid w:val="004E2A24"/>
    <w:rsid w:val="004E5A28"/>
    <w:rsid w:val="004E6368"/>
    <w:rsid w:val="004E6B71"/>
    <w:rsid w:val="004E7BCD"/>
    <w:rsid w:val="004F0C31"/>
    <w:rsid w:val="004F0F38"/>
    <w:rsid w:val="004F1737"/>
    <w:rsid w:val="004F298D"/>
    <w:rsid w:val="004F3213"/>
    <w:rsid w:val="004F3953"/>
    <w:rsid w:val="004F3ADE"/>
    <w:rsid w:val="004F6B58"/>
    <w:rsid w:val="004F6C05"/>
    <w:rsid w:val="004F6FC6"/>
    <w:rsid w:val="005010AD"/>
    <w:rsid w:val="00501583"/>
    <w:rsid w:val="00501AE2"/>
    <w:rsid w:val="00501E68"/>
    <w:rsid w:val="00502647"/>
    <w:rsid w:val="00503145"/>
    <w:rsid w:val="00503227"/>
    <w:rsid w:val="005041F3"/>
    <w:rsid w:val="00505B4E"/>
    <w:rsid w:val="00505EAB"/>
    <w:rsid w:val="00505FAF"/>
    <w:rsid w:val="0051015C"/>
    <w:rsid w:val="00511152"/>
    <w:rsid w:val="0051162E"/>
    <w:rsid w:val="00511D6E"/>
    <w:rsid w:val="0051222E"/>
    <w:rsid w:val="005145A0"/>
    <w:rsid w:val="00515321"/>
    <w:rsid w:val="00515CEF"/>
    <w:rsid w:val="00516E40"/>
    <w:rsid w:val="00522A8B"/>
    <w:rsid w:val="00522E8F"/>
    <w:rsid w:val="00531913"/>
    <w:rsid w:val="00533162"/>
    <w:rsid w:val="00533E85"/>
    <w:rsid w:val="0053422A"/>
    <w:rsid w:val="005346D5"/>
    <w:rsid w:val="00535BF8"/>
    <w:rsid w:val="00535FE5"/>
    <w:rsid w:val="00536BEE"/>
    <w:rsid w:val="00540A1D"/>
    <w:rsid w:val="00540C1B"/>
    <w:rsid w:val="00540FB4"/>
    <w:rsid w:val="00543DF2"/>
    <w:rsid w:val="005453C5"/>
    <w:rsid w:val="00545930"/>
    <w:rsid w:val="0054628B"/>
    <w:rsid w:val="005470CC"/>
    <w:rsid w:val="005475DD"/>
    <w:rsid w:val="00553252"/>
    <w:rsid w:val="00555F6E"/>
    <w:rsid w:val="00557F38"/>
    <w:rsid w:val="005600CA"/>
    <w:rsid w:val="005607CB"/>
    <w:rsid w:val="00561119"/>
    <w:rsid w:val="00561588"/>
    <w:rsid w:val="005624DF"/>
    <w:rsid w:val="00562D6B"/>
    <w:rsid w:val="00563CA5"/>
    <w:rsid w:val="0056544A"/>
    <w:rsid w:val="0056555A"/>
    <w:rsid w:val="005656C9"/>
    <w:rsid w:val="0056706A"/>
    <w:rsid w:val="0056786A"/>
    <w:rsid w:val="00567A3D"/>
    <w:rsid w:val="005712F4"/>
    <w:rsid w:val="00571C5B"/>
    <w:rsid w:val="005745D5"/>
    <w:rsid w:val="00574F8E"/>
    <w:rsid w:val="00575446"/>
    <w:rsid w:val="005776AA"/>
    <w:rsid w:val="005821ED"/>
    <w:rsid w:val="00582AFC"/>
    <w:rsid w:val="00584596"/>
    <w:rsid w:val="0058483C"/>
    <w:rsid w:val="005849CE"/>
    <w:rsid w:val="00584D27"/>
    <w:rsid w:val="00584E30"/>
    <w:rsid w:val="005869C2"/>
    <w:rsid w:val="00587488"/>
    <w:rsid w:val="00587DB1"/>
    <w:rsid w:val="00590D1F"/>
    <w:rsid w:val="00592067"/>
    <w:rsid w:val="0059388D"/>
    <w:rsid w:val="00593DB1"/>
    <w:rsid w:val="005945DC"/>
    <w:rsid w:val="00597263"/>
    <w:rsid w:val="005A0CE9"/>
    <w:rsid w:val="005A1302"/>
    <w:rsid w:val="005A33C4"/>
    <w:rsid w:val="005A3DFD"/>
    <w:rsid w:val="005A6421"/>
    <w:rsid w:val="005A6C92"/>
    <w:rsid w:val="005A6F6E"/>
    <w:rsid w:val="005B08F1"/>
    <w:rsid w:val="005B1D1C"/>
    <w:rsid w:val="005B3352"/>
    <w:rsid w:val="005B493E"/>
    <w:rsid w:val="005B59DB"/>
    <w:rsid w:val="005B60CA"/>
    <w:rsid w:val="005B773C"/>
    <w:rsid w:val="005C29CA"/>
    <w:rsid w:val="005C433A"/>
    <w:rsid w:val="005C5227"/>
    <w:rsid w:val="005C6A04"/>
    <w:rsid w:val="005C6D42"/>
    <w:rsid w:val="005D0923"/>
    <w:rsid w:val="005D20CB"/>
    <w:rsid w:val="005D29F9"/>
    <w:rsid w:val="005D3061"/>
    <w:rsid w:val="005D459E"/>
    <w:rsid w:val="005D5D14"/>
    <w:rsid w:val="005D6C5F"/>
    <w:rsid w:val="005D74DD"/>
    <w:rsid w:val="005E0B62"/>
    <w:rsid w:val="005E0B94"/>
    <w:rsid w:val="005E16EC"/>
    <w:rsid w:val="005E2567"/>
    <w:rsid w:val="005E296A"/>
    <w:rsid w:val="005E31A5"/>
    <w:rsid w:val="005E32ED"/>
    <w:rsid w:val="005E47BE"/>
    <w:rsid w:val="005E5794"/>
    <w:rsid w:val="005E5860"/>
    <w:rsid w:val="005E6508"/>
    <w:rsid w:val="005E6DBF"/>
    <w:rsid w:val="005F0E24"/>
    <w:rsid w:val="005F117B"/>
    <w:rsid w:val="005F4B84"/>
    <w:rsid w:val="005F772A"/>
    <w:rsid w:val="00600209"/>
    <w:rsid w:val="00603C52"/>
    <w:rsid w:val="00604F07"/>
    <w:rsid w:val="006051A8"/>
    <w:rsid w:val="006133D6"/>
    <w:rsid w:val="00613712"/>
    <w:rsid w:val="0061376C"/>
    <w:rsid w:val="00614804"/>
    <w:rsid w:val="00614CAB"/>
    <w:rsid w:val="006168C9"/>
    <w:rsid w:val="00620119"/>
    <w:rsid w:val="00620ED8"/>
    <w:rsid w:val="00623338"/>
    <w:rsid w:val="00624470"/>
    <w:rsid w:val="00625983"/>
    <w:rsid w:val="00627E4E"/>
    <w:rsid w:val="006302B0"/>
    <w:rsid w:val="00631323"/>
    <w:rsid w:val="00631A27"/>
    <w:rsid w:val="00631B63"/>
    <w:rsid w:val="00633537"/>
    <w:rsid w:val="00633FAF"/>
    <w:rsid w:val="00640C5A"/>
    <w:rsid w:val="00645323"/>
    <w:rsid w:val="00645B8F"/>
    <w:rsid w:val="00645D43"/>
    <w:rsid w:val="00647C95"/>
    <w:rsid w:val="006507F4"/>
    <w:rsid w:val="006509E6"/>
    <w:rsid w:val="00653575"/>
    <w:rsid w:val="0065404B"/>
    <w:rsid w:val="00654BE5"/>
    <w:rsid w:val="006563D5"/>
    <w:rsid w:val="00665191"/>
    <w:rsid w:val="006654D6"/>
    <w:rsid w:val="006675B5"/>
    <w:rsid w:val="00671760"/>
    <w:rsid w:val="006726F3"/>
    <w:rsid w:val="00672828"/>
    <w:rsid w:val="00675448"/>
    <w:rsid w:val="006759B5"/>
    <w:rsid w:val="00677B4E"/>
    <w:rsid w:val="00683FDF"/>
    <w:rsid w:val="006845C3"/>
    <w:rsid w:val="00684A3E"/>
    <w:rsid w:val="00686A7C"/>
    <w:rsid w:val="00687034"/>
    <w:rsid w:val="00687CFC"/>
    <w:rsid w:val="006902DF"/>
    <w:rsid w:val="00690CC4"/>
    <w:rsid w:val="00691351"/>
    <w:rsid w:val="00691E7E"/>
    <w:rsid w:val="00693D06"/>
    <w:rsid w:val="00695354"/>
    <w:rsid w:val="006A0987"/>
    <w:rsid w:val="006A122B"/>
    <w:rsid w:val="006A43CE"/>
    <w:rsid w:val="006A6254"/>
    <w:rsid w:val="006A7370"/>
    <w:rsid w:val="006A74A6"/>
    <w:rsid w:val="006A7DD1"/>
    <w:rsid w:val="006B0943"/>
    <w:rsid w:val="006B2C87"/>
    <w:rsid w:val="006B496B"/>
    <w:rsid w:val="006C0E9A"/>
    <w:rsid w:val="006C1599"/>
    <w:rsid w:val="006C516D"/>
    <w:rsid w:val="006C7093"/>
    <w:rsid w:val="006D0808"/>
    <w:rsid w:val="006D1ABD"/>
    <w:rsid w:val="006D1C2E"/>
    <w:rsid w:val="006D3395"/>
    <w:rsid w:val="006D47F9"/>
    <w:rsid w:val="006D5388"/>
    <w:rsid w:val="006D61BF"/>
    <w:rsid w:val="006D6D34"/>
    <w:rsid w:val="006D6F82"/>
    <w:rsid w:val="006E0885"/>
    <w:rsid w:val="006E1029"/>
    <w:rsid w:val="006E217D"/>
    <w:rsid w:val="006E31CD"/>
    <w:rsid w:val="006E3D11"/>
    <w:rsid w:val="006E3D26"/>
    <w:rsid w:val="006E3F4A"/>
    <w:rsid w:val="006E43AF"/>
    <w:rsid w:val="006E6BF8"/>
    <w:rsid w:val="006F0E9A"/>
    <w:rsid w:val="006F0EE8"/>
    <w:rsid w:val="006F3E6A"/>
    <w:rsid w:val="006F70C4"/>
    <w:rsid w:val="00701B5C"/>
    <w:rsid w:val="00701F42"/>
    <w:rsid w:val="007029E0"/>
    <w:rsid w:val="00702B5B"/>
    <w:rsid w:val="00703D56"/>
    <w:rsid w:val="00705148"/>
    <w:rsid w:val="00705C78"/>
    <w:rsid w:val="00707914"/>
    <w:rsid w:val="007106E4"/>
    <w:rsid w:val="00712A89"/>
    <w:rsid w:val="00713766"/>
    <w:rsid w:val="0071422F"/>
    <w:rsid w:val="00714737"/>
    <w:rsid w:val="00715FC8"/>
    <w:rsid w:val="007162EB"/>
    <w:rsid w:val="007167C6"/>
    <w:rsid w:val="007169E1"/>
    <w:rsid w:val="00717058"/>
    <w:rsid w:val="007204D9"/>
    <w:rsid w:val="00720603"/>
    <w:rsid w:val="00723538"/>
    <w:rsid w:val="00727B39"/>
    <w:rsid w:val="0074116E"/>
    <w:rsid w:val="00742003"/>
    <w:rsid w:val="007432DA"/>
    <w:rsid w:val="0074346C"/>
    <w:rsid w:val="00743B92"/>
    <w:rsid w:val="00744D1D"/>
    <w:rsid w:val="00744FAD"/>
    <w:rsid w:val="007457D3"/>
    <w:rsid w:val="00746E7D"/>
    <w:rsid w:val="00747207"/>
    <w:rsid w:val="00747825"/>
    <w:rsid w:val="00750431"/>
    <w:rsid w:val="00751265"/>
    <w:rsid w:val="007528D7"/>
    <w:rsid w:val="00752A73"/>
    <w:rsid w:val="00754257"/>
    <w:rsid w:val="00756CC5"/>
    <w:rsid w:val="0075740A"/>
    <w:rsid w:val="00757E45"/>
    <w:rsid w:val="00757F1D"/>
    <w:rsid w:val="0076153C"/>
    <w:rsid w:val="0076344C"/>
    <w:rsid w:val="0076371A"/>
    <w:rsid w:val="00763956"/>
    <w:rsid w:val="00763CE7"/>
    <w:rsid w:val="00764618"/>
    <w:rsid w:val="00764A0C"/>
    <w:rsid w:val="0076516B"/>
    <w:rsid w:val="00765A2B"/>
    <w:rsid w:val="00765BDD"/>
    <w:rsid w:val="00767DB6"/>
    <w:rsid w:val="00770722"/>
    <w:rsid w:val="00771146"/>
    <w:rsid w:val="00771AF4"/>
    <w:rsid w:val="00771C99"/>
    <w:rsid w:val="00772514"/>
    <w:rsid w:val="00773AE7"/>
    <w:rsid w:val="0077423E"/>
    <w:rsid w:val="00775019"/>
    <w:rsid w:val="0078028D"/>
    <w:rsid w:val="00784266"/>
    <w:rsid w:val="00786023"/>
    <w:rsid w:val="00793BEF"/>
    <w:rsid w:val="0079421C"/>
    <w:rsid w:val="007947DB"/>
    <w:rsid w:val="00794A6B"/>
    <w:rsid w:val="00796385"/>
    <w:rsid w:val="007972E3"/>
    <w:rsid w:val="007A4D06"/>
    <w:rsid w:val="007A5983"/>
    <w:rsid w:val="007A62B8"/>
    <w:rsid w:val="007A670B"/>
    <w:rsid w:val="007A7472"/>
    <w:rsid w:val="007A782B"/>
    <w:rsid w:val="007B3697"/>
    <w:rsid w:val="007B454C"/>
    <w:rsid w:val="007B4F22"/>
    <w:rsid w:val="007B5D32"/>
    <w:rsid w:val="007B6B71"/>
    <w:rsid w:val="007C10B2"/>
    <w:rsid w:val="007C153F"/>
    <w:rsid w:val="007C2525"/>
    <w:rsid w:val="007C41BF"/>
    <w:rsid w:val="007C55FA"/>
    <w:rsid w:val="007C7846"/>
    <w:rsid w:val="007C7F4E"/>
    <w:rsid w:val="007D0B58"/>
    <w:rsid w:val="007D0DB9"/>
    <w:rsid w:val="007D440C"/>
    <w:rsid w:val="007D5EFB"/>
    <w:rsid w:val="007D6186"/>
    <w:rsid w:val="007D6302"/>
    <w:rsid w:val="007D7AC2"/>
    <w:rsid w:val="007E007E"/>
    <w:rsid w:val="007E435A"/>
    <w:rsid w:val="007E4BA9"/>
    <w:rsid w:val="007E5B53"/>
    <w:rsid w:val="007E674F"/>
    <w:rsid w:val="007E7DC5"/>
    <w:rsid w:val="007F2302"/>
    <w:rsid w:val="007F2736"/>
    <w:rsid w:val="0080073D"/>
    <w:rsid w:val="008023A7"/>
    <w:rsid w:val="00804A43"/>
    <w:rsid w:val="00804BE6"/>
    <w:rsid w:val="00807105"/>
    <w:rsid w:val="00807452"/>
    <w:rsid w:val="008074E7"/>
    <w:rsid w:val="008078C3"/>
    <w:rsid w:val="00807C89"/>
    <w:rsid w:val="008118F7"/>
    <w:rsid w:val="008121B1"/>
    <w:rsid w:val="00814C4A"/>
    <w:rsid w:val="0081602F"/>
    <w:rsid w:val="00817B3F"/>
    <w:rsid w:val="0082201B"/>
    <w:rsid w:val="00822709"/>
    <w:rsid w:val="00822D9E"/>
    <w:rsid w:val="00823E2F"/>
    <w:rsid w:val="0082638A"/>
    <w:rsid w:val="00827830"/>
    <w:rsid w:val="00832777"/>
    <w:rsid w:val="00833381"/>
    <w:rsid w:val="0083395D"/>
    <w:rsid w:val="00834325"/>
    <w:rsid w:val="008421A3"/>
    <w:rsid w:val="00843BDE"/>
    <w:rsid w:val="0084479A"/>
    <w:rsid w:val="00844D3D"/>
    <w:rsid w:val="0084500C"/>
    <w:rsid w:val="008451AF"/>
    <w:rsid w:val="0085030B"/>
    <w:rsid w:val="008522EE"/>
    <w:rsid w:val="008547F1"/>
    <w:rsid w:val="00855EAE"/>
    <w:rsid w:val="008575C5"/>
    <w:rsid w:val="00860A19"/>
    <w:rsid w:val="00860E4B"/>
    <w:rsid w:val="00860EEA"/>
    <w:rsid w:val="0086204A"/>
    <w:rsid w:val="008624CA"/>
    <w:rsid w:val="008626FF"/>
    <w:rsid w:val="00862FB4"/>
    <w:rsid w:val="00863B4C"/>
    <w:rsid w:val="008644BC"/>
    <w:rsid w:val="00865008"/>
    <w:rsid w:val="00871569"/>
    <w:rsid w:val="0087384E"/>
    <w:rsid w:val="00873F82"/>
    <w:rsid w:val="00875849"/>
    <w:rsid w:val="008775F8"/>
    <w:rsid w:val="0088141F"/>
    <w:rsid w:val="00883989"/>
    <w:rsid w:val="00892854"/>
    <w:rsid w:val="00893D88"/>
    <w:rsid w:val="00894808"/>
    <w:rsid w:val="00894D23"/>
    <w:rsid w:val="0089616F"/>
    <w:rsid w:val="0089663D"/>
    <w:rsid w:val="00897860"/>
    <w:rsid w:val="008A053D"/>
    <w:rsid w:val="008A365E"/>
    <w:rsid w:val="008A4C43"/>
    <w:rsid w:val="008A56E9"/>
    <w:rsid w:val="008A5E8C"/>
    <w:rsid w:val="008A66C1"/>
    <w:rsid w:val="008A75FB"/>
    <w:rsid w:val="008B0C50"/>
    <w:rsid w:val="008B1C69"/>
    <w:rsid w:val="008B474C"/>
    <w:rsid w:val="008B5817"/>
    <w:rsid w:val="008C006D"/>
    <w:rsid w:val="008C0559"/>
    <w:rsid w:val="008C146B"/>
    <w:rsid w:val="008C3F3A"/>
    <w:rsid w:val="008C438B"/>
    <w:rsid w:val="008C6459"/>
    <w:rsid w:val="008C674B"/>
    <w:rsid w:val="008C72EE"/>
    <w:rsid w:val="008D0142"/>
    <w:rsid w:val="008D3666"/>
    <w:rsid w:val="008D4576"/>
    <w:rsid w:val="008D4C11"/>
    <w:rsid w:val="008D6DE8"/>
    <w:rsid w:val="008E022E"/>
    <w:rsid w:val="008E21CE"/>
    <w:rsid w:val="008E27C2"/>
    <w:rsid w:val="008E2922"/>
    <w:rsid w:val="008E586D"/>
    <w:rsid w:val="008F3832"/>
    <w:rsid w:val="008F3A83"/>
    <w:rsid w:val="008F3E9F"/>
    <w:rsid w:val="008F4530"/>
    <w:rsid w:val="008F5553"/>
    <w:rsid w:val="008F618C"/>
    <w:rsid w:val="00900F39"/>
    <w:rsid w:val="00901118"/>
    <w:rsid w:val="0090350A"/>
    <w:rsid w:val="009047B9"/>
    <w:rsid w:val="009079E0"/>
    <w:rsid w:val="009110E6"/>
    <w:rsid w:val="0091287E"/>
    <w:rsid w:val="00914082"/>
    <w:rsid w:val="0091487C"/>
    <w:rsid w:val="00914A49"/>
    <w:rsid w:val="00916243"/>
    <w:rsid w:val="00917354"/>
    <w:rsid w:val="00920247"/>
    <w:rsid w:val="00920674"/>
    <w:rsid w:val="009208FF"/>
    <w:rsid w:val="00922E64"/>
    <w:rsid w:val="0092370D"/>
    <w:rsid w:val="00924140"/>
    <w:rsid w:val="00924F3B"/>
    <w:rsid w:val="00926C72"/>
    <w:rsid w:val="00926E8C"/>
    <w:rsid w:val="00930EC1"/>
    <w:rsid w:val="00932543"/>
    <w:rsid w:val="00932E6F"/>
    <w:rsid w:val="009330C3"/>
    <w:rsid w:val="009334AB"/>
    <w:rsid w:val="009336A0"/>
    <w:rsid w:val="00935260"/>
    <w:rsid w:val="0093597B"/>
    <w:rsid w:val="00936762"/>
    <w:rsid w:val="00936AC3"/>
    <w:rsid w:val="00940D00"/>
    <w:rsid w:val="0094122A"/>
    <w:rsid w:val="00944063"/>
    <w:rsid w:val="00946904"/>
    <w:rsid w:val="009473E9"/>
    <w:rsid w:val="009475CA"/>
    <w:rsid w:val="00947A53"/>
    <w:rsid w:val="00950BB0"/>
    <w:rsid w:val="00950C05"/>
    <w:rsid w:val="009546CD"/>
    <w:rsid w:val="00954ABE"/>
    <w:rsid w:val="00955EDC"/>
    <w:rsid w:val="00956B47"/>
    <w:rsid w:val="0095759C"/>
    <w:rsid w:val="00960844"/>
    <w:rsid w:val="009610BD"/>
    <w:rsid w:val="00962069"/>
    <w:rsid w:val="00962CB6"/>
    <w:rsid w:val="00965ECC"/>
    <w:rsid w:val="0097173D"/>
    <w:rsid w:val="009721C2"/>
    <w:rsid w:val="00972BCD"/>
    <w:rsid w:val="00972F52"/>
    <w:rsid w:val="00973F4E"/>
    <w:rsid w:val="00976281"/>
    <w:rsid w:val="0098115C"/>
    <w:rsid w:val="0098306F"/>
    <w:rsid w:val="009849E8"/>
    <w:rsid w:val="00984C59"/>
    <w:rsid w:val="00987FF0"/>
    <w:rsid w:val="009910C0"/>
    <w:rsid w:val="00991ACA"/>
    <w:rsid w:val="009921D4"/>
    <w:rsid w:val="00992E2E"/>
    <w:rsid w:val="0099325D"/>
    <w:rsid w:val="009933C7"/>
    <w:rsid w:val="009939EE"/>
    <w:rsid w:val="00993D89"/>
    <w:rsid w:val="009946C6"/>
    <w:rsid w:val="00994BBC"/>
    <w:rsid w:val="009952F1"/>
    <w:rsid w:val="009965E8"/>
    <w:rsid w:val="00997C3D"/>
    <w:rsid w:val="00997FB7"/>
    <w:rsid w:val="009A063B"/>
    <w:rsid w:val="009A4AF6"/>
    <w:rsid w:val="009A5038"/>
    <w:rsid w:val="009A5A24"/>
    <w:rsid w:val="009C08D3"/>
    <w:rsid w:val="009C29F5"/>
    <w:rsid w:val="009C3F73"/>
    <w:rsid w:val="009C4950"/>
    <w:rsid w:val="009C50A8"/>
    <w:rsid w:val="009C5301"/>
    <w:rsid w:val="009C54E8"/>
    <w:rsid w:val="009C6029"/>
    <w:rsid w:val="009C6F1A"/>
    <w:rsid w:val="009C72B6"/>
    <w:rsid w:val="009C766B"/>
    <w:rsid w:val="009C79F9"/>
    <w:rsid w:val="009D1291"/>
    <w:rsid w:val="009D1AA4"/>
    <w:rsid w:val="009D280D"/>
    <w:rsid w:val="009D61DE"/>
    <w:rsid w:val="009D7C5A"/>
    <w:rsid w:val="009E151C"/>
    <w:rsid w:val="009E299B"/>
    <w:rsid w:val="009E3E01"/>
    <w:rsid w:val="009F1E95"/>
    <w:rsid w:val="009F1FA6"/>
    <w:rsid w:val="009F2F4F"/>
    <w:rsid w:val="009F77D4"/>
    <w:rsid w:val="00A00520"/>
    <w:rsid w:val="00A011FA"/>
    <w:rsid w:val="00A0363D"/>
    <w:rsid w:val="00A03E15"/>
    <w:rsid w:val="00A04096"/>
    <w:rsid w:val="00A054B7"/>
    <w:rsid w:val="00A07190"/>
    <w:rsid w:val="00A0746A"/>
    <w:rsid w:val="00A07C18"/>
    <w:rsid w:val="00A1094B"/>
    <w:rsid w:val="00A10FA5"/>
    <w:rsid w:val="00A1155D"/>
    <w:rsid w:val="00A1171F"/>
    <w:rsid w:val="00A117BF"/>
    <w:rsid w:val="00A123CD"/>
    <w:rsid w:val="00A12D3F"/>
    <w:rsid w:val="00A1356C"/>
    <w:rsid w:val="00A1397A"/>
    <w:rsid w:val="00A13C79"/>
    <w:rsid w:val="00A14C1F"/>
    <w:rsid w:val="00A15F24"/>
    <w:rsid w:val="00A1652F"/>
    <w:rsid w:val="00A16AC5"/>
    <w:rsid w:val="00A16AD0"/>
    <w:rsid w:val="00A17037"/>
    <w:rsid w:val="00A17152"/>
    <w:rsid w:val="00A1773C"/>
    <w:rsid w:val="00A17EEC"/>
    <w:rsid w:val="00A20D9F"/>
    <w:rsid w:val="00A20FD9"/>
    <w:rsid w:val="00A22214"/>
    <w:rsid w:val="00A224CE"/>
    <w:rsid w:val="00A23CA4"/>
    <w:rsid w:val="00A26DCD"/>
    <w:rsid w:val="00A32E86"/>
    <w:rsid w:val="00A35C23"/>
    <w:rsid w:val="00A37D50"/>
    <w:rsid w:val="00A406E6"/>
    <w:rsid w:val="00A41F81"/>
    <w:rsid w:val="00A42487"/>
    <w:rsid w:val="00A437EE"/>
    <w:rsid w:val="00A44C50"/>
    <w:rsid w:val="00A46B59"/>
    <w:rsid w:val="00A46C58"/>
    <w:rsid w:val="00A51781"/>
    <w:rsid w:val="00A560B7"/>
    <w:rsid w:val="00A60141"/>
    <w:rsid w:val="00A60265"/>
    <w:rsid w:val="00A615F7"/>
    <w:rsid w:val="00A62BDA"/>
    <w:rsid w:val="00A6743B"/>
    <w:rsid w:val="00A67FDD"/>
    <w:rsid w:val="00A71F4D"/>
    <w:rsid w:val="00A7371E"/>
    <w:rsid w:val="00A73DD2"/>
    <w:rsid w:val="00A74635"/>
    <w:rsid w:val="00A75318"/>
    <w:rsid w:val="00A777E1"/>
    <w:rsid w:val="00A80FBB"/>
    <w:rsid w:val="00A823E8"/>
    <w:rsid w:val="00A849A3"/>
    <w:rsid w:val="00A8621C"/>
    <w:rsid w:val="00A86513"/>
    <w:rsid w:val="00A87411"/>
    <w:rsid w:val="00A87CED"/>
    <w:rsid w:val="00A87FE9"/>
    <w:rsid w:val="00A90827"/>
    <w:rsid w:val="00A9099E"/>
    <w:rsid w:val="00A92817"/>
    <w:rsid w:val="00AA149C"/>
    <w:rsid w:val="00AA3F5A"/>
    <w:rsid w:val="00AA5D5E"/>
    <w:rsid w:val="00AA6400"/>
    <w:rsid w:val="00AA6F5C"/>
    <w:rsid w:val="00AA77C9"/>
    <w:rsid w:val="00AA7895"/>
    <w:rsid w:val="00AA7C24"/>
    <w:rsid w:val="00AB09E9"/>
    <w:rsid w:val="00AB1381"/>
    <w:rsid w:val="00AB2B98"/>
    <w:rsid w:val="00AB3F7B"/>
    <w:rsid w:val="00AB7DA5"/>
    <w:rsid w:val="00AB7FEF"/>
    <w:rsid w:val="00AC11F4"/>
    <w:rsid w:val="00AC2494"/>
    <w:rsid w:val="00AC4672"/>
    <w:rsid w:val="00AC4A04"/>
    <w:rsid w:val="00AC71FF"/>
    <w:rsid w:val="00AC7793"/>
    <w:rsid w:val="00AC7A25"/>
    <w:rsid w:val="00AD03AB"/>
    <w:rsid w:val="00AD1ED5"/>
    <w:rsid w:val="00AD2D0A"/>
    <w:rsid w:val="00AD382B"/>
    <w:rsid w:val="00AD3E81"/>
    <w:rsid w:val="00AD5173"/>
    <w:rsid w:val="00AD51D7"/>
    <w:rsid w:val="00AD5D7E"/>
    <w:rsid w:val="00AD5E4B"/>
    <w:rsid w:val="00AD64A4"/>
    <w:rsid w:val="00AD6EB4"/>
    <w:rsid w:val="00AE1443"/>
    <w:rsid w:val="00AE2CE9"/>
    <w:rsid w:val="00AE3314"/>
    <w:rsid w:val="00AE3693"/>
    <w:rsid w:val="00AE40A3"/>
    <w:rsid w:val="00AE5515"/>
    <w:rsid w:val="00AF041F"/>
    <w:rsid w:val="00AF051C"/>
    <w:rsid w:val="00AF27D2"/>
    <w:rsid w:val="00AF30A9"/>
    <w:rsid w:val="00AF3D23"/>
    <w:rsid w:val="00AF5D88"/>
    <w:rsid w:val="00AF5E9D"/>
    <w:rsid w:val="00AF650E"/>
    <w:rsid w:val="00B05A29"/>
    <w:rsid w:val="00B06B91"/>
    <w:rsid w:val="00B0729C"/>
    <w:rsid w:val="00B0797C"/>
    <w:rsid w:val="00B10A41"/>
    <w:rsid w:val="00B125CB"/>
    <w:rsid w:val="00B12CF4"/>
    <w:rsid w:val="00B13024"/>
    <w:rsid w:val="00B14574"/>
    <w:rsid w:val="00B146ED"/>
    <w:rsid w:val="00B149F8"/>
    <w:rsid w:val="00B2068A"/>
    <w:rsid w:val="00B20DFF"/>
    <w:rsid w:val="00B21274"/>
    <w:rsid w:val="00B214E9"/>
    <w:rsid w:val="00B21C23"/>
    <w:rsid w:val="00B2207B"/>
    <w:rsid w:val="00B22449"/>
    <w:rsid w:val="00B225C3"/>
    <w:rsid w:val="00B24341"/>
    <w:rsid w:val="00B25441"/>
    <w:rsid w:val="00B26F45"/>
    <w:rsid w:val="00B27764"/>
    <w:rsid w:val="00B310E0"/>
    <w:rsid w:val="00B32870"/>
    <w:rsid w:val="00B32B73"/>
    <w:rsid w:val="00B340F4"/>
    <w:rsid w:val="00B37504"/>
    <w:rsid w:val="00B40133"/>
    <w:rsid w:val="00B41D4F"/>
    <w:rsid w:val="00B439DD"/>
    <w:rsid w:val="00B439F9"/>
    <w:rsid w:val="00B43B3D"/>
    <w:rsid w:val="00B43D9B"/>
    <w:rsid w:val="00B4418C"/>
    <w:rsid w:val="00B45B27"/>
    <w:rsid w:val="00B46187"/>
    <w:rsid w:val="00B52DF3"/>
    <w:rsid w:val="00B54AF2"/>
    <w:rsid w:val="00B562DC"/>
    <w:rsid w:val="00B57140"/>
    <w:rsid w:val="00B574DC"/>
    <w:rsid w:val="00B6032B"/>
    <w:rsid w:val="00B63D36"/>
    <w:rsid w:val="00B646CC"/>
    <w:rsid w:val="00B64E83"/>
    <w:rsid w:val="00B701A8"/>
    <w:rsid w:val="00B70DF1"/>
    <w:rsid w:val="00B72874"/>
    <w:rsid w:val="00B73683"/>
    <w:rsid w:val="00B76D04"/>
    <w:rsid w:val="00B81433"/>
    <w:rsid w:val="00B8272E"/>
    <w:rsid w:val="00B83C4C"/>
    <w:rsid w:val="00B85F20"/>
    <w:rsid w:val="00B86577"/>
    <w:rsid w:val="00B86973"/>
    <w:rsid w:val="00B87A60"/>
    <w:rsid w:val="00B9016D"/>
    <w:rsid w:val="00B90576"/>
    <w:rsid w:val="00B91BFE"/>
    <w:rsid w:val="00B9294B"/>
    <w:rsid w:val="00B93283"/>
    <w:rsid w:val="00B93EC1"/>
    <w:rsid w:val="00B9560C"/>
    <w:rsid w:val="00B975B6"/>
    <w:rsid w:val="00B976DE"/>
    <w:rsid w:val="00BA08A1"/>
    <w:rsid w:val="00BA0AED"/>
    <w:rsid w:val="00BA1BBB"/>
    <w:rsid w:val="00BA237B"/>
    <w:rsid w:val="00BA35EB"/>
    <w:rsid w:val="00BA4574"/>
    <w:rsid w:val="00BA45D7"/>
    <w:rsid w:val="00BA6FF5"/>
    <w:rsid w:val="00BA7CE7"/>
    <w:rsid w:val="00BB079F"/>
    <w:rsid w:val="00BB0D35"/>
    <w:rsid w:val="00BB0E16"/>
    <w:rsid w:val="00BB17BF"/>
    <w:rsid w:val="00BB2C53"/>
    <w:rsid w:val="00BB2F7F"/>
    <w:rsid w:val="00BB49D9"/>
    <w:rsid w:val="00BB7313"/>
    <w:rsid w:val="00BC0E8A"/>
    <w:rsid w:val="00BC103C"/>
    <w:rsid w:val="00BC14ED"/>
    <w:rsid w:val="00BC1DDF"/>
    <w:rsid w:val="00BC204F"/>
    <w:rsid w:val="00BC20D2"/>
    <w:rsid w:val="00BC2C9B"/>
    <w:rsid w:val="00BC4EB7"/>
    <w:rsid w:val="00BC5952"/>
    <w:rsid w:val="00BC5B4E"/>
    <w:rsid w:val="00BC76FB"/>
    <w:rsid w:val="00BD110B"/>
    <w:rsid w:val="00BD1682"/>
    <w:rsid w:val="00BD2E60"/>
    <w:rsid w:val="00BD4E0C"/>
    <w:rsid w:val="00BD50E5"/>
    <w:rsid w:val="00BE0980"/>
    <w:rsid w:val="00BE0B59"/>
    <w:rsid w:val="00BE2DEC"/>
    <w:rsid w:val="00BE7702"/>
    <w:rsid w:val="00BF0287"/>
    <w:rsid w:val="00BF0CF1"/>
    <w:rsid w:val="00BF0FF7"/>
    <w:rsid w:val="00BF1496"/>
    <w:rsid w:val="00BF14EF"/>
    <w:rsid w:val="00BF1CD6"/>
    <w:rsid w:val="00BF36E6"/>
    <w:rsid w:val="00BF440E"/>
    <w:rsid w:val="00BF67C3"/>
    <w:rsid w:val="00BF6B30"/>
    <w:rsid w:val="00BF715F"/>
    <w:rsid w:val="00C00158"/>
    <w:rsid w:val="00C0071D"/>
    <w:rsid w:val="00C018DE"/>
    <w:rsid w:val="00C0265C"/>
    <w:rsid w:val="00C032C8"/>
    <w:rsid w:val="00C045D9"/>
    <w:rsid w:val="00C04897"/>
    <w:rsid w:val="00C048B2"/>
    <w:rsid w:val="00C07B60"/>
    <w:rsid w:val="00C11160"/>
    <w:rsid w:val="00C11D40"/>
    <w:rsid w:val="00C12D69"/>
    <w:rsid w:val="00C13785"/>
    <w:rsid w:val="00C13FA4"/>
    <w:rsid w:val="00C14FA3"/>
    <w:rsid w:val="00C15129"/>
    <w:rsid w:val="00C17E57"/>
    <w:rsid w:val="00C20DD6"/>
    <w:rsid w:val="00C23198"/>
    <w:rsid w:val="00C3132C"/>
    <w:rsid w:val="00C31659"/>
    <w:rsid w:val="00C34321"/>
    <w:rsid w:val="00C35AB0"/>
    <w:rsid w:val="00C369A0"/>
    <w:rsid w:val="00C37141"/>
    <w:rsid w:val="00C40934"/>
    <w:rsid w:val="00C41B25"/>
    <w:rsid w:val="00C42D29"/>
    <w:rsid w:val="00C4365A"/>
    <w:rsid w:val="00C445F8"/>
    <w:rsid w:val="00C456C7"/>
    <w:rsid w:val="00C4575B"/>
    <w:rsid w:val="00C45F8A"/>
    <w:rsid w:val="00C467F7"/>
    <w:rsid w:val="00C46F51"/>
    <w:rsid w:val="00C47BBC"/>
    <w:rsid w:val="00C50464"/>
    <w:rsid w:val="00C530D4"/>
    <w:rsid w:val="00C5311B"/>
    <w:rsid w:val="00C53469"/>
    <w:rsid w:val="00C5397D"/>
    <w:rsid w:val="00C55038"/>
    <w:rsid w:val="00C55DC7"/>
    <w:rsid w:val="00C57298"/>
    <w:rsid w:val="00C603AD"/>
    <w:rsid w:val="00C608C4"/>
    <w:rsid w:val="00C61396"/>
    <w:rsid w:val="00C631AF"/>
    <w:rsid w:val="00C63CE7"/>
    <w:rsid w:val="00C63FAB"/>
    <w:rsid w:val="00C6416D"/>
    <w:rsid w:val="00C65317"/>
    <w:rsid w:val="00C67807"/>
    <w:rsid w:val="00C72588"/>
    <w:rsid w:val="00C75C72"/>
    <w:rsid w:val="00C770C8"/>
    <w:rsid w:val="00C774AC"/>
    <w:rsid w:val="00C81EA4"/>
    <w:rsid w:val="00C83442"/>
    <w:rsid w:val="00C84308"/>
    <w:rsid w:val="00C85506"/>
    <w:rsid w:val="00C85982"/>
    <w:rsid w:val="00C86209"/>
    <w:rsid w:val="00C86CD5"/>
    <w:rsid w:val="00C87522"/>
    <w:rsid w:val="00C87BE3"/>
    <w:rsid w:val="00C90738"/>
    <w:rsid w:val="00C90837"/>
    <w:rsid w:val="00C950AA"/>
    <w:rsid w:val="00CA245E"/>
    <w:rsid w:val="00CA4FEB"/>
    <w:rsid w:val="00CA592C"/>
    <w:rsid w:val="00CA679E"/>
    <w:rsid w:val="00CA6D76"/>
    <w:rsid w:val="00CB407E"/>
    <w:rsid w:val="00CB52F7"/>
    <w:rsid w:val="00CB5628"/>
    <w:rsid w:val="00CB60B6"/>
    <w:rsid w:val="00CB6C75"/>
    <w:rsid w:val="00CB7A61"/>
    <w:rsid w:val="00CC155B"/>
    <w:rsid w:val="00CC21F5"/>
    <w:rsid w:val="00CC331C"/>
    <w:rsid w:val="00CC4019"/>
    <w:rsid w:val="00CC45CB"/>
    <w:rsid w:val="00CC6DCB"/>
    <w:rsid w:val="00CC7380"/>
    <w:rsid w:val="00CC75A0"/>
    <w:rsid w:val="00CC796D"/>
    <w:rsid w:val="00CC7A58"/>
    <w:rsid w:val="00CD060A"/>
    <w:rsid w:val="00CD06FE"/>
    <w:rsid w:val="00CD0875"/>
    <w:rsid w:val="00CD0D89"/>
    <w:rsid w:val="00CD11B5"/>
    <w:rsid w:val="00CD2D16"/>
    <w:rsid w:val="00CD331C"/>
    <w:rsid w:val="00CD34DD"/>
    <w:rsid w:val="00CD6316"/>
    <w:rsid w:val="00CE04D1"/>
    <w:rsid w:val="00CE04DE"/>
    <w:rsid w:val="00CE0CFB"/>
    <w:rsid w:val="00CE1D0F"/>
    <w:rsid w:val="00CE3E6C"/>
    <w:rsid w:val="00CE496E"/>
    <w:rsid w:val="00CF1100"/>
    <w:rsid w:val="00CF2B53"/>
    <w:rsid w:val="00CF2D98"/>
    <w:rsid w:val="00CF3003"/>
    <w:rsid w:val="00CF4005"/>
    <w:rsid w:val="00D00360"/>
    <w:rsid w:val="00D012B4"/>
    <w:rsid w:val="00D04CDA"/>
    <w:rsid w:val="00D05EEF"/>
    <w:rsid w:val="00D06764"/>
    <w:rsid w:val="00D06832"/>
    <w:rsid w:val="00D07A62"/>
    <w:rsid w:val="00D1004B"/>
    <w:rsid w:val="00D10DE2"/>
    <w:rsid w:val="00D12837"/>
    <w:rsid w:val="00D14718"/>
    <w:rsid w:val="00D153CC"/>
    <w:rsid w:val="00D15860"/>
    <w:rsid w:val="00D20E93"/>
    <w:rsid w:val="00D23BD9"/>
    <w:rsid w:val="00D24AE2"/>
    <w:rsid w:val="00D24C55"/>
    <w:rsid w:val="00D26494"/>
    <w:rsid w:val="00D300B6"/>
    <w:rsid w:val="00D30E17"/>
    <w:rsid w:val="00D31278"/>
    <w:rsid w:val="00D3197A"/>
    <w:rsid w:val="00D31E03"/>
    <w:rsid w:val="00D360E6"/>
    <w:rsid w:val="00D36FAE"/>
    <w:rsid w:val="00D37C32"/>
    <w:rsid w:val="00D40082"/>
    <w:rsid w:val="00D422E7"/>
    <w:rsid w:val="00D4632D"/>
    <w:rsid w:val="00D47C6E"/>
    <w:rsid w:val="00D50000"/>
    <w:rsid w:val="00D5357B"/>
    <w:rsid w:val="00D54BD2"/>
    <w:rsid w:val="00D56205"/>
    <w:rsid w:val="00D576C3"/>
    <w:rsid w:val="00D57BAC"/>
    <w:rsid w:val="00D57DA2"/>
    <w:rsid w:val="00D611D2"/>
    <w:rsid w:val="00D628EC"/>
    <w:rsid w:val="00D63BE2"/>
    <w:rsid w:val="00D642FF"/>
    <w:rsid w:val="00D65768"/>
    <w:rsid w:val="00D65783"/>
    <w:rsid w:val="00D67456"/>
    <w:rsid w:val="00D67AE6"/>
    <w:rsid w:val="00D70D79"/>
    <w:rsid w:val="00D712A3"/>
    <w:rsid w:val="00D723C7"/>
    <w:rsid w:val="00D73A07"/>
    <w:rsid w:val="00D75182"/>
    <w:rsid w:val="00D755CA"/>
    <w:rsid w:val="00D7721B"/>
    <w:rsid w:val="00D776C5"/>
    <w:rsid w:val="00D81D8B"/>
    <w:rsid w:val="00D84337"/>
    <w:rsid w:val="00D87BED"/>
    <w:rsid w:val="00D90BFF"/>
    <w:rsid w:val="00D9262C"/>
    <w:rsid w:val="00D938A9"/>
    <w:rsid w:val="00D938CB"/>
    <w:rsid w:val="00D95936"/>
    <w:rsid w:val="00D963E4"/>
    <w:rsid w:val="00D967AB"/>
    <w:rsid w:val="00D973EB"/>
    <w:rsid w:val="00DA0A76"/>
    <w:rsid w:val="00DA1A39"/>
    <w:rsid w:val="00DA1D3D"/>
    <w:rsid w:val="00DA35AE"/>
    <w:rsid w:val="00DA3C5C"/>
    <w:rsid w:val="00DA4EAB"/>
    <w:rsid w:val="00DA5737"/>
    <w:rsid w:val="00DB1ED0"/>
    <w:rsid w:val="00DB292A"/>
    <w:rsid w:val="00DB2AA0"/>
    <w:rsid w:val="00DB2AEA"/>
    <w:rsid w:val="00DB414D"/>
    <w:rsid w:val="00DB63E6"/>
    <w:rsid w:val="00DB7F23"/>
    <w:rsid w:val="00DC12BE"/>
    <w:rsid w:val="00DC2C36"/>
    <w:rsid w:val="00DC3AED"/>
    <w:rsid w:val="00DC488E"/>
    <w:rsid w:val="00DC5BF3"/>
    <w:rsid w:val="00DC5D7F"/>
    <w:rsid w:val="00DD06A5"/>
    <w:rsid w:val="00DE017A"/>
    <w:rsid w:val="00DE495C"/>
    <w:rsid w:val="00DE6545"/>
    <w:rsid w:val="00DE6F5E"/>
    <w:rsid w:val="00DE7685"/>
    <w:rsid w:val="00DF471A"/>
    <w:rsid w:val="00DF61EC"/>
    <w:rsid w:val="00DF6516"/>
    <w:rsid w:val="00DF78E0"/>
    <w:rsid w:val="00E0066D"/>
    <w:rsid w:val="00E01860"/>
    <w:rsid w:val="00E01ACD"/>
    <w:rsid w:val="00E03D3E"/>
    <w:rsid w:val="00E0684C"/>
    <w:rsid w:val="00E07275"/>
    <w:rsid w:val="00E10CA6"/>
    <w:rsid w:val="00E1245C"/>
    <w:rsid w:val="00E13ADD"/>
    <w:rsid w:val="00E160F8"/>
    <w:rsid w:val="00E163EB"/>
    <w:rsid w:val="00E1661E"/>
    <w:rsid w:val="00E17E90"/>
    <w:rsid w:val="00E20BE7"/>
    <w:rsid w:val="00E2147A"/>
    <w:rsid w:val="00E2302F"/>
    <w:rsid w:val="00E2322A"/>
    <w:rsid w:val="00E24C52"/>
    <w:rsid w:val="00E266EE"/>
    <w:rsid w:val="00E274B3"/>
    <w:rsid w:val="00E278CC"/>
    <w:rsid w:val="00E36761"/>
    <w:rsid w:val="00E368A7"/>
    <w:rsid w:val="00E37D21"/>
    <w:rsid w:val="00E415CF"/>
    <w:rsid w:val="00E4310F"/>
    <w:rsid w:val="00E43DDE"/>
    <w:rsid w:val="00E45D15"/>
    <w:rsid w:val="00E4602A"/>
    <w:rsid w:val="00E460C4"/>
    <w:rsid w:val="00E463CC"/>
    <w:rsid w:val="00E46B6C"/>
    <w:rsid w:val="00E50B9A"/>
    <w:rsid w:val="00E54648"/>
    <w:rsid w:val="00E55667"/>
    <w:rsid w:val="00E55B21"/>
    <w:rsid w:val="00E55D1C"/>
    <w:rsid w:val="00E61E86"/>
    <w:rsid w:val="00E64622"/>
    <w:rsid w:val="00E65984"/>
    <w:rsid w:val="00E67783"/>
    <w:rsid w:val="00E677DE"/>
    <w:rsid w:val="00E70289"/>
    <w:rsid w:val="00E7099C"/>
    <w:rsid w:val="00E71976"/>
    <w:rsid w:val="00E72301"/>
    <w:rsid w:val="00E72C08"/>
    <w:rsid w:val="00E74397"/>
    <w:rsid w:val="00E75415"/>
    <w:rsid w:val="00E75C2B"/>
    <w:rsid w:val="00E821F1"/>
    <w:rsid w:val="00E83515"/>
    <w:rsid w:val="00E8459E"/>
    <w:rsid w:val="00E84DE0"/>
    <w:rsid w:val="00E86F5E"/>
    <w:rsid w:val="00E90A00"/>
    <w:rsid w:val="00E90C7E"/>
    <w:rsid w:val="00E91025"/>
    <w:rsid w:val="00E92945"/>
    <w:rsid w:val="00E9405D"/>
    <w:rsid w:val="00E959A6"/>
    <w:rsid w:val="00E969FB"/>
    <w:rsid w:val="00E97218"/>
    <w:rsid w:val="00EA0C37"/>
    <w:rsid w:val="00EA2B79"/>
    <w:rsid w:val="00EA4AB9"/>
    <w:rsid w:val="00EA5783"/>
    <w:rsid w:val="00EA6CA7"/>
    <w:rsid w:val="00EA6F1B"/>
    <w:rsid w:val="00EA7A4C"/>
    <w:rsid w:val="00EB0C19"/>
    <w:rsid w:val="00EB22AB"/>
    <w:rsid w:val="00EB23AE"/>
    <w:rsid w:val="00EB60B1"/>
    <w:rsid w:val="00EB6367"/>
    <w:rsid w:val="00EB66CF"/>
    <w:rsid w:val="00EB6C52"/>
    <w:rsid w:val="00EC2163"/>
    <w:rsid w:val="00EC21FF"/>
    <w:rsid w:val="00EC277D"/>
    <w:rsid w:val="00EC289F"/>
    <w:rsid w:val="00EC3834"/>
    <w:rsid w:val="00EC3A20"/>
    <w:rsid w:val="00EC3C2D"/>
    <w:rsid w:val="00EC4A31"/>
    <w:rsid w:val="00EC5DC1"/>
    <w:rsid w:val="00ED102E"/>
    <w:rsid w:val="00ED107B"/>
    <w:rsid w:val="00ED164B"/>
    <w:rsid w:val="00ED1650"/>
    <w:rsid w:val="00ED1CCC"/>
    <w:rsid w:val="00ED323D"/>
    <w:rsid w:val="00ED330B"/>
    <w:rsid w:val="00ED5391"/>
    <w:rsid w:val="00EE2ACE"/>
    <w:rsid w:val="00EE32A4"/>
    <w:rsid w:val="00EE3581"/>
    <w:rsid w:val="00EE35B1"/>
    <w:rsid w:val="00EE3E88"/>
    <w:rsid w:val="00EE4E83"/>
    <w:rsid w:val="00EE6316"/>
    <w:rsid w:val="00EE68D7"/>
    <w:rsid w:val="00EE7DB8"/>
    <w:rsid w:val="00EF0011"/>
    <w:rsid w:val="00EF04A2"/>
    <w:rsid w:val="00EF2008"/>
    <w:rsid w:val="00EF2F4C"/>
    <w:rsid w:val="00EF3614"/>
    <w:rsid w:val="00EF4058"/>
    <w:rsid w:val="00EF44AA"/>
    <w:rsid w:val="00EF5088"/>
    <w:rsid w:val="00EF6F0E"/>
    <w:rsid w:val="00EF7F46"/>
    <w:rsid w:val="00F00475"/>
    <w:rsid w:val="00F004E1"/>
    <w:rsid w:val="00F0277D"/>
    <w:rsid w:val="00F0370C"/>
    <w:rsid w:val="00F043ED"/>
    <w:rsid w:val="00F06D6C"/>
    <w:rsid w:val="00F072B3"/>
    <w:rsid w:val="00F07A1F"/>
    <w:rsid w:val="00F1013F"/>
    <w:rsid w:val="00F1074D"/>
    <w:rsid w:val="00F10917"/>
    <w:rsid w:val="00F127D2"/>
    <w:rsid w:val="00F16307"/>
    <w:rsid w:val="00F17E7A"/>
    <w:rsid w:val="00F23571"/>
    <w:rsid w:val="00F23598"/>
    <w:rsid w:val="00F240E5"/>
    <w:rsid w:val="00F25896"/>
    <w:rsid w:val="00F259FC"/>
    <w:rsid w:val="00F265FA"/>
    <w:rsid w:val="00F276EC"/>
    <w:rsid w:val="00F277B1"/>
    <w:rsid w:val="00F308D8"/>
    <w:rsid w:val="00F3462C"/>
    <w:rsid w:val="00F35940"/>
    <w:rsid w:val="00F372EF"/>
    <w:rsid w:val="00F42048"/>
    <w:rsid w:val="00F42195"/>
    <w:rsid w:val="00F42ADC"/>
    <w:rsid w:val="00F431F8"/>
    <w:rsid w:val="00F4367A"/>
    <w:rsid w:val="00F43A73"/>
    <w:rsid w:val="00F4444C"/>
    <w:rsid w:val="00F45DB4"/>
    <w:rsid w:val="00F5100D"/>
    <w:rsid w:val="00F511FF"/>
    <w:rsid w:val="00F53184"/>
    <w:rsid w:val="00F53EA4"/>
    <w:rsid w:val="00F53FEA"/>
    <w:rsid w:val="00F54F61"/>
    <w:rsid w:val="00F5519D"/>
    <w:rsid w:val="00F55A1F"/>
    <w:rsid w:val="00F5765D"/>
    <w:rsid w:val="00F57A52"/>
    <w:rsid w:val="00F60413"/>
    <w:rsid w:val="00F61102"/>
    <w:rsid w:val="00F61BA9"/>
    <w:rsid w:val="00F61DFA"/>
    <w:rsid w:val="00F62D46"/>
    <w:rsid w:val="00F63113"/>
    <w:rsid w:val="00F63B3B"/>
    <w:rsid w:val="00F63E13"/>
    <w:rsid w:val="00F65B8B"/>
    <w:rsid w:val="00F66433"/>
    <w:rsid w:val="00F6677A"/>
    <w:rsid w:val="00F67BD8"/>
    <w:rsid w:val="00F71EC5"/>
    <w:rsid w:val="00F7599D"/>
    <w:rsid w:val="00F77973"/>
    <w:rsid w:val="00F80706"/>
    <w:rsid w:val="00F81B8C"/>
    <w:rsid w:val="00F82979"/>
    <w:rsid w:val="00F84526"/>
    <w:rsid w:val="00F8653C"/>
    <w:rsid w:val="00F86EAB"/>
    <w:rsid w:val="00F87F58"/>
    <w:rsid w:val="00F906D4"/>
    <w:rsid w:val="00F9186D"/>
    <w:rsid w:val="00F922EE"/>
    <w:rsid w:val="00F931D2"/>
    <w:rsid w:val="00F94503"/>
    <w:rsid w:val="00F9536E"/>
    <w:rsid w:val="00F958EE"/>
    <w:rsid w:val="00F97E57"/>
    <w:rsid w:val="00FA1906"/>
    <w:rsid w:val="00FA26E9"/>
    <w:rsid w:val="00FA2823"/>
    <w:rsid w:val="00FA3203"/>
    <w:rsid w:val="00FA3338"/>
    <w:rsid w:val="00FA42C7"/>
    <w:rsid w:val="00FA4A5B"/>
    <w:rsid w:val="00FA4DAE"/>
    <w:rsid w:val="00FA5596"/>
    <w:rsid w:val="00FA5D8B"/>
    <w:rsid w:val="00FA5F1A"/>
    <w:rsid w:val="00FA6D45"/>
    <w:rsid w:val="00FA7507"/>
    <w:rsid w:val="00FB04E5"/>
    <w:rsid w:val="00FB061F"/>
    <w:rsid w:val="00FB44B8"/>
    <w:rsid w:val="00FB5476"/>
    <w:rsid w:val="00FC0F3F"/>
    <w:rsid w:val="00FC4E54"/>
    <w:rsid w:val="00FC5A21"/>
    <w:rsid w:val="00FC67CA"/>
    <w:rsid w:val="00FC6EA3"/>
    <w:rsid w:val="00FC73BC"/>
    <w:rsid w:val="00FC76BA"/>
    <w:rsid w:val="00FD0F0B"/>
    <w:rsid w:val="00FD4AE1"/>
    <w:rsid w:val="00FD4FB8"/>
    <w:rsid w:val="00FD5C61"/>
    <w:rsid w:val="00FD6092"/>
    <w:rsid w:val="00FD69E3"/>
    <w:rsid w:val="00FD7112"/>
    <w:rsid w:val="00FD73B0"/>
    <w:rsid w:val="00FE1560"/>
    <w:rsid w:val="00FE2466"/>
    <w:rsid w:val="00FE26A0"/>
    <w:rsid w:val="00FE4A40"/>
    <w:rsid w:val="00FE651A"/>
    <w:rsid w:val="00FF3C65"/>
    <w:rsid w:val="00FF4B21"/>
    <w:rsid w:val="00FF5021"/>
    <w:rsid w:val="00FF5C2C"/>
    <w:rsid w:val="00FF68C6"/>
    <w:rsid w:val="00FF736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AB0EE9"/>
  <w15:docId w15:val="{BBAED435-F0A1-4AA7-B25E-5999A33AE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472"/>
    <w:pPr>
      <w:spacing w:before="200" w:after="0"/>
      <w:ind w:left="720"/>
      <w:jc w:val="both"/>
    </w:pPr>
  </w:style>
  <w:style w:type="paragraph" w:styleId="Heading1">
    <w:name w:val="heading 1"/>
    <w:basedOn w:val="Normal"/>
    <w:next w:val="Normal"/>
    <w:link w:val="Heading1Char"/>
    <w:uiPriority w:val="1"/>
    <w:qFormat/>
    <w:rsid w:val="00BF6B30"/>
    <w:pPr>
      <w:tabs>
        <w:tab w:val="left" w:pos="2880"/>
      </w:tabs>
      <w:ind w:left="0"/>
      <w:outlineLvl w:val="0"/>
    </w:pPr>
    <w:rPr>
      <w:rFonts w:ascii="Arial" w:hAnsi="Arial" w:cs="Arial"/>
      <w:b/>
      <w:sz w:val="28"/>
    </w:rPr>
  </w:style>
  <w:style w:type="paragraph" w:styleId="Heading2">
    <w:name w:val="heading 2"/>
    <w:basedOn w:val="Normal"/>
    <w:next w:val="Normal"/>
    <w:link w:val="Heading2Char"/>
    <w:uiPriority w:val="1"/>
    <w:unhideWhenUsed/>
    <w:qFormat/>
    <w:rsid w:val="0084500C"/>
    <w:pPr>
      <w:keepNext/>
      <w:keepLines/>
      <w:numPr>
        <w:ilvl w:val="1"/>
        <w:numId w:val="1"/>
      </w:numPr>
      <w:spacing w:before="360" w:line="240" w:lineRule="auto"/>
      <w:outlineLvl w:val="1"/>
    </w:pPr>
    <w:rPr>
      <w:rFonts w:eastAsiaTheme="majorEastAsia" w:cstheme="minorHAnsi"/>
      <w:bCs/>
      <w:color w:val="7599AF" w:themeColor="accent5"/>
      <w:sz w:val="32"/>
      <w:szCs w:val="26"/>
    </w:rPr>
  </w:style>
  <w:style w:type="paragraph" w:styleId="Heading3">
    <w:name w:val="heading 3"/>
    <w:basedOn w:val="Normal"/>
    <w:next w:val="Normal"/>
    <w:link w:val="Heading3Char"/>
    <w:uiPriority w:val="9"/>
    <w:unhideWhenUsed/>
    <w:qFormat/>
    <w:rsid w:val="00B32B73"/>
    <w:pPr>
      <w:keepNext/>
      <w:keepLines/>
      <w:numPr>
        <w:ilvl w:val="2"/>
        <w:numId w:val="1"/>
      </w:numPr>
      <w:spacing w:before="360" w:line="240" w:lineRule="auto"/>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BC0E8A"/>
    <w:pPr>
      <w:keepNext/>
      <w:keepLines/>
      <w:spacing w:before="40"/>
      <w:outlineLvl w:val="3"/>
    </w:pPr>
    <w:rPr>
      <w:rFonts w:asciiTheme="majorHAnsi" w:eastAsiaTheme="majorEastAsia" w:hAnsiTheme="majorHAnsi" w:cstheme="majorBidi"/>
      <w:i/>
      <w:iCs/>
      <w:color w:val="0F213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17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A17EEC"/>
    <w:pPr>
      <w:spacing w:after="0" w:line="240" w:lineRule="auto"/>
    </w:pPr>
    <w:tblPr>
      <w:tblStyleRowBandSize w:val="1"/>
      <w:tblStyleColBandSize w:val="1"/>
      <w:tblBorders>
        <w:top w:val="single" w:sz="8" w:space="0" w:color="142D53" w:themeColor="accent1"/>
        <w:left w:val="single" w:sz="8" w:space="0" w:color="142D53" w:themeColor="accent1"/>
        <w:bottom w:val="single" w:sz="8" w:space="0" w:color="142D53" w:themeColor="accent1"/>
        <w:right w:val="single" w:sz="8" w:space="0" w:color="142D53" w:themeColor="accent1"/>
      </w:tblBorders>
    </w:tblPr>
    <w:tblStylePr w:type="firstRow">
      <w:pPr>
        <w:spacing w:before="0" w:after="0" w:line="240" w:lineRule="auto"/>
      </w:pPr>
      <w:rPr>
        <w:b/>
        <w:bCs/>
        <w:color w:val="FFFFFF" w:themeColor="background1"/>
      </w:rPr>
      <w:tblPr/>
      <w:tcPr>
        <w:shd w:val="clear" w:color="auto" w:fill="142D53" w:themeFill="accent1"/>
      </w:tcPr>
    </w:tblStylePr>
    <w:tblStylePr w:type="lastRow">
      <w:pPr>
        <w:spacing w:before="0" w:after="0" w:line="240" w:lineRule="auto"/>
      </w:pPr>
      <w:rPr>
        <w:b/>
        <w:bCs/>
      </w:rPr>
      <w:tblPr/>
      <w:tcPr>
        <w:tcBorders>
          <w:top w:val="double" w:sz="6" w:space="0" w:color="142D53" w:themeColor="accent1"/>
          <w:left w:val="single" w:sz="8" w:space="0" w:color="142D53" w:themeColor="accent1"/>
          <w:bottom w:val="single" w:sz="8" w:space="0" w:color="142D53" w:themeColor="accent1"/>
          <w:right w:val="single" w:sz="8" w:space="0" w:color="142D53" w:themeColor="accent1"/>
        </w:tcBorders>
      </w:tcPr>
    </w:tblStylePr>
    <w:tblStylePr w:type="firstCol">
      <w:rPr>
        <w:b/>
        <w:bCs/>
      </w:rPr>
    </w:tblStylePr>
    <w:tblStylePr w:type="lastCol">
      <w:rPr>
        <w:b/>
        <w:bCs/>
      </w:rPr>
    </w:tblStylePr>
    <w:tblStylePr w:type="band1Vert">
      <w:tblPr/>
      <w:tcPr>
        <w:tcBorders>
          <w:top w:val="single" w:sz="8" w:space="0" w:color="142D53" w:themeColor="accent1"/>
          <w:left w:val="single" w:sz="8" w:space="0" w:color="142D53" w:themeColor="accent1"/>
          <w:bottom w:val="single" w:sz="8" w:space="0" w:color="142D53" w:themeColor="accent1"/>
          <w:right w:val="single" w:sz="8" w:space="0" w:color="142D53" w:themeColor="accent1"/>
        </w:tcBorders>
      </w:tcPr>
    </w:tblStylePr>
    <w:tblStylePr w:type="band1Horz">
      <w:tblPr/>
      <w:tcPr>
        <w:tcBorders>
          <w:top w:val="single" w:sz="8" w:space="0" w:color="142D53" w:themeColor="accent1"/>
          <w:left w:val="single" w:sz="8" w:space="0" w:color="142D53" w:themeColor="accent1"/>
          <w:bottom w:val="single" w:sz="8" w:space="0" w:color="142D53" w:themeColor="accent1"/>
          <w:right w:val="single" w:sz="8" w:space="0" w:color="142D53" w:themeColor="accent1"/>
        </w:tcBorders>
      </w:tcPr>
    </w:tblStylePr>
  </w:style>
  <w:style w:type="paragraph" w:styleId="ListParagraph">
    <w:name w:val="List Paragraph"/>
    <w:aliases w:val="Lettre d'introduction,List Paragraph1,List Paragraph - bullets,Subheading 1,PMC Bullet Para,Resume Title,Bullet list,Colorful List - Accent 12,Use Case List Paragraph,b1,Bullet for no #'s,B1,List Paragraph2,List 1 Paragraph"/>
    <w:basedOn w:val="Normal"/>
    <w:link w:val="ListParagraphChar"/>
    <w:uiPriority w:val="1"/>
    <w:qFormat/>
    <w:rsid w:val="009C50A8"/>
    <w:pPr>
      <w:numPr>
        <w:numId w:val="2"/>
      </w:numPr>
      <w:spacing w:before="0"/>
    </w:pPr>
  </w:style>
  <w:style w:type="paragraph" w:styleId="BalloonText">
    <w:name w:val="Balloon Text"/>
    <w:basedOn w:val="Normal"/>
    <w:link w:val="BalloonTextChar"/>
    <w:uiPriority w:val="99"/>
    <w:semiHidden/>
    <w:unhideWhenUsed/>
    <w:rsid w:val="003E4D0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4D0F"/>
    <w:rPr>
      <w:rFonts w:ascii="Tahoma" w:hAnsi="Tahoma" w:cs="Tahoma"/>
      <w:sz w:val="16"/>
      <w:szCs w:val="16"/>
    </w:rPr>
  </w:style>
  <w:style w:type="paragraph" w:styleId="Header">
    <w:name w:val="header"/>
    <w:basedOn w:val="Normal"/>
    <w:link w:val="HeaderChar"/>
    <w:uiPriority w:val="99"/>
    <w:unhideWhenUsed/>
    <w:rsid w:val="000530EF"/>
    <w:pPr>
      <w:tabs>
        <w:tab w:val="center" w:pos="4680"/>
        <w:tab w:val="right" w:pos="9360"/>
      </w:tabs>
      <w:spacing w:line="240" w:lineRule="auto"/>
    </w:pPr>
  </w:style>
  <w:style w:type="character" w:customStyle="1" w:styleId="HeaderChar">
    <w:name w:val="Header Char"/>
    <w:basedOn w:val="DefaultParagraphFont"/>
    <w:link w:val="Header"/>
    <w:uiPriority w:val="99"/>
    <w:rsid w:val="000530EF"/>
  </w:style>
  <w:style w:type="paragraph" w:styleId="Footer">
    <w:name w:val="footer"/>
    <w:basedOn w:val="Normal"/>
    <w:link w:val="FooterChar"/>
    <w:uiPriority w:val="99"/>
    <w:unhideWhenUsed/>
    <w:rsid w:val="000530EF"/>
    <w:pPr>
      <w:tabs>
        <w:tab w:val="center" w:pos="4680"/>
        <w:tab w:val="right" w:pos="9360"/>
      </w:tabs>
      <w:spacing w:line="240" w:lineRule="auto"/>
    </w:pPr>
  </w:style>
  <w:style w:type="character" w:customStyle="1" w:styleId="FooterChar">
    <w:name w:val="Footer Char"/>
    <w:basedOn w:val="DefaultParagraphFont"/>
    <w:link w:val="Footer"/>
    <w:uiPriority w:val="99"/>
    <w:rsid w:val="000530EF"/>
  </w:style>
  <w:style w:type="paragraph" w:customStyle="1" w:styleId="Covertitle">
    <w:name w:val="Cover title"/>
    <w:basedOn w:val="Normal"/>
    <w:link w:val="CovertitleChar"/>
    <w:qFormat/>
    <w:rsid w:val="000530EF"/>
    <w:pPr>
      <w:spacing w:before="120" w:line="216" w:lineRule="auto"/>
      <w:ind w:left="2160" w:hanging="2160"/>
      <w:contextualSpacing/>
    </w:pPr>
    <w:rPr>
      <w:rFonts w:ascii="Segoe UI" w:eastAsia="Calibri" w:hAnsi="Segoe UI" w:cs="Segoe UI"/>
      <w:color w:val="738597" w:themeColor="text1" w:themeTint="A6"/>
      <w:spacing w:val="-40"/>
      <w:kern w:val="24"/>
      <w:position w:val="6"/>
      <w:sz w:val="52"/>
      <w:szCs w:val="120"/>
      <w:lang w:val="en-CA"/>
    </w:rPr>
  </w:style>
  <w:style w:type="character" w:customStyle="1" w:styleId="CovertitleChar">
    <w:name w:val="Cover title Char"/>
    <w:basedOn w:val="DefaultParagraphFont"/>
    <w:link w:val="Covertitle"/>
    <w:rsid w:val="000530EF"/>
    <w:rPr>
      <w:rFonts w:ascii="Segoe UI" w:eastAsia="Calibri" w:hAnsi="Segoe UI" w:cs="Segoe UI"/>
      <w:color w:val="738597" w:themeColor="text1" w:themeTint="A6"/>
      <w:spacing w:val="-40"/>
      <w:kern w:val="24"/>
      <w:position w:val="6"/>
      <w:sz w:val="52"/>
      <w:szCs w:val="120"/>
      <w:lang w:val="en-CA"/>
    </w:rPr>
  </w:style>
  <w:style w:type="paragraph" w:customStyle="1" w:styleId="CoverDate">
    <w:name w:val="Cover Date"/>
    <w:basedOn w:val="Normal"/>
    <w:link w:val="CoverDateChar"/>
    <w:qFormat/>
    <w:rsid w:val="000530EF"/>
    <w:pPr>
      <w:tabs>
        <w:tab w:val="left" w:pos="7020"/>
      </w:tabs>
      <w:spacing w:before="120" w:after="240" w:line="240" w:lineRule="auto"/>
      <w:ind w:left="851" w:right="113"/>
      <w:contextualSpacing/>
      <w:jc w:val="right"/>
    </w:pPr>
    <w:rPr>
      <w:rFonts w:ascii="Segoe UI" w:eastAsia="Calibri" w:hAnsi="Segoe UI" w:cs="Segoe UI"/>
      <w:color w:val="FFFFFF" w:themeColor="background1"/>
      <w:sz w:val="36"/>
      <w:szCs w:val="36"/>
      <w:lang w:val="en-CA"/>
    </w:rPr>
  </w:style>
  <w:style w:type="character" w:customStyle="1" w:styleId="CoverDateChar">
    <w:name w:val="Cover Date Char"/>
    <w:basedOn w:val="DefaultParagraphFont"/>
    <w:link w:val="CoverDate"/>
    <w:rsid w:val="000530EF"/>
    <w:rPr>
      <w:rFonts w:ascii="Segoe UI" w:eastAsia="Calibri" w:hAnsi="Segoe UI" w:cs="Segoe UI"/>
      <w:color w:val="FFFFFF" w:themeColor="background1"/>
      <w:sz w:val="36"/>
      <w:szCs w:val="36"/>
      <w:lang w:val="en-CA"/>
    </w:rPr>
  </w:style>
  <w:style w:type="paragraph" w:customStyle="1" w:styleId="Covertitle2">
    <w:name w:val="Cover title 2"/>
    <w:basedOn w:val="Normal"/>
    <w:link w:val="Covertitle2Char"/>
    <w:qFormat/>
    <w:rsid w:val="000530EF"/>
    <w:pPr>
      <w:spacing w:before="120" w:line="216" w:lineRule="auto"/>
      <w:contextualSpacing/>
    </w:pPr>
    <w:rPr>
      <w:rFonts w:ascii="Segoe UI" w:eastAsia="Calibri" w:hAnsi="Segoe UI" w:cs="Segoe UI"/>
      <w:b/>
      <w:color w:val="094FA4"/>
      <w:spacing w:val="-60"/>
      <w:kern w:val="24"/>
      <w:position w:val="6"/>
      <w:sz w:val="80"/>
      <w:szCs w:val="80"/>
      <w:lang w:val="en-CA"/>
    </w:rPr>
  </w:style>
  <w:style w:type="character" w:customStyle="1" w:styleId="Covertitle2Char">
    <w:name w:val="Cover title 2 Char"/>
    <w:basedOn w:val="DefaultParagraphFont"/>
    <w:link w:val="Covertitle2"/>
    <w:rsid w:val="000530EF"/>
    <w:rPr>
      <w:rFonts w:ascii="Segoe UI" w:eastAsia="Calibri" w:hAnsi="Segoe UI" w:cs="Segoe UI"/>
      <w:b/>
      <w:color w:val="094FA4"/>
      <w:spacing w:val="-60"/>
      <w:kern w:val="24"/>
      <w:position w:val="6"/>
      <w:sz w:val="80"/>
      <w:szCs w:val="80"/>
      <w:lang w:val="en-CA"/>
    </w:rPr>
  </w:style>
  <w:style w:type="character" w:customStyle="1" w:styleId="Heading1Char">
    <w:name w:val="Heading 1 Char"/>
    <w:basedOn w:val="DefaultParagraphFont"/>
    <w:link w:val="Heading1"/>
    <w:uiPriority w:val="1"/>
    <w:rsid w:val="00BF6B30"/>
    <w:rPr>
      <w:rFonts w:ascii="Arial" w:hAnsi="Arial" w:cs="Arial"/>
      <w:b/>
      <w:sz w:val="28"/>
    </w:rPr>
  </w:style>
  <w:style w:type="character" w:customStyle="1" w:styleId="Heading2Char">
    <w:name w:val="Heading 2 Char"/>
    <w:basedOn w:val="DefaultParagraphFont"/>
    <w:link w:val="Heading2"/>
    <w:uiPriority w:val="1"/>
    <w:rsid w:val="0084500C"/>
    <w:rPr>
      <w:rFonts w:eastAsiaTheme="majorEastAsia" w:cstheme="minorHAnsi"/>
      <w:bCs/>
      <w:color w:val="7599AF" w:themeColor="accent5"/>
      <w:sz w:val="32"/>
      <w:szCs w:val="26"/>
    </w:rPr>
  </w:style>
  <w:style w:type="paragraph" w:styleId="Subtitle">
    <w:name w:val="Subtitle"/>
    <w:basedOn w:val="Normal"/>
    <w:next w:val="Normal"/>
    <w:link w:val="SubtitleChar"/>
    <w:uiPriority w:val="11"/>
    <w:qFormat/>
    <w:rsid w:val="009C6029"/>
    <w:pPr>
      <w:numPr>
        <w:ilvl w:val="1"/>
      </w:numPr>
      <w:ind w:left="720"/>
    </w:pPr>
    <w:rPr>
      <w:rFonts w:eastAsiaTheme="majorEastAsia" w:cstheme="minorHAnsi"/>
      <w:i/>
      <w:iCs/>
      <w:color w:val="142D53" w:themeColor="accent1"/>
      <w:spacing w:val="15"/>
      <w:sz w:val="24"/>
      <w:szCs w:val="24"/>
    </w:rPr>
  </w:style>
  <w:style w:type="character" w:customStyle="1" w:styleId="SubtitleChar">
    <w:name w:val="Subtitle Char"/>
    <w:basedOn w:val="DefaultParagraphFont"/>
    <w:link w:val="Subtitle"/>
    <w:uiPriority w:val="11"/>
    <w:rsid w:val="009C6029"/>
    <w:rPr>
      <w:rFonts w:eastAsiaTheme="majorEastAsia" w:cstheme="minorHAnsi"/>
      <w:i/>
      <w:iCs/>
      <w:color w:val="142D53" w:themeColor="accent1"/>
      <w:spacing w:val="15"/>
      <w:sz w:val="24"/>
      <w:szCs w:val="24"/>
    </w:rPr>
  </w:style>
  <w:style w:type="character" w:styleId="IntenseEmphasis">
    <w:name w:val="Intense Emphasis"/>
    <w:basedOn w:val="DefaultParagraphFont"/>
    <w:uiPriority w:val="21"/>
    <w:qFormat/>
    <w:rsid w:val="009C6029"/>
    <w:rPr>
      <w:b/>
      <w:bCs/>
      <w:i/>
      <w:iCs/>
      <w:color w:val="142D53" w:themeColor="accent1"/>
    </w:rPr>
  </w:style>
  <w:style w:type="character" w:styleId="SubtleEmphasis">
    <w:name w:val="Subtle Emphasis"/>
    <w:basedOn w:val="DefaultParagraphFont"/>
    <w:uiPriority w:val="19"/>
    <w:qFormat/>
    <w:rsid w:val="009C6029"/>
    <w:rPr>
      <w:i/>
      <w:iCs/>
      <w:color w:val="94A1AF" w:themeColor="text1" w:themeTint="7F"/>
    </w:rPr>
  </w:style>
  <w:style w:type="character" w:customStyle="1" w:styleId="ListParagraphChar">
    <w:name w:val="List Paragraph Char"/>
    <w:aliases w:val="Lettre d'introduction Char,List Paragraph1 Char,List Paragraph - bullets Char,Subheading 1 Char,PMC Bullet Para Char,Resume Title Char,Bullet list Char,Colorful List - Accent 12 Char,Use Case List Paragraph Char,b1 Char,B1 Char"/>
    <w:basedOn w:val="DefaultParagraphFont"/>
    <w:link w:val="ListParagraph"/>
    <w:uiPriority w:val="1"/>
    <w:locked/>
    <w:rsid w:val="009C50A8"/>
  </w:style>
  <w:style w:type="table" w:styleId="LightList-Accent2">
    <w:name w:val="Light List Accent 2"/>
    <w:basedOn w:val="TableNormal"/>
    <w:uiPriority w:val="61"/>
    <w:rsid w:val="004F3ADE"/>
    <w:pPr>
      <w:spacing w:after="0" w:line="240" w:lineRule="auto"/>
    </w:pPr>
    <w:tblPr>
      <w:tblStyleRowBandSize w:val="1"/>
      <w:tblStyleColBandSize w:val="1"/>
      <w:tblBorders>
        <w:top w:val="single" w:sz="8" w:space="0" w:color="F47D31" w:themeColor="accent2"/>
        <w:left w:val="single" w:sz="8" w:space="0" w:color="F47D31" w:themeColor="accent2"/>
        <w:bottom w:val="single" w:sz="8" w:space="0" w:color="F47D31" w:themeColor="accent2"/>
        <w:right w:val="single" w:sz="8" w:space="0" w:color="F47D31" w:themeColor="accent2"/>
      </w:tblBorders>
    </w:tblPr>
    <w:tblStylePr w:type="firstRow">
      <w:pPr>
        <w:spacing w:before="0" w:after="0" w:line="240" w:lineRule="auto"/>
      </w:pPr>
      <w:rPr>
        <w:b/>
        <w:bCs/>
        <w:color w:val="FFFFFF" w:themeColor="background1"/>
      </w:rPr>
      <w:tblPr/>
      <w:tcPr>
        <w:shd w:val="clear" w:color="auto" w:fill="F47D31" w:themeFill="accent2"/>
      </w:tcPr>
    </w:tblStylePr>
    <w:tblStylePr w:type="lastRow">
      <w:pPr>
        <w:spacing w:before="0" w:after="0" w:line="240" w:lineRule="auto"/>
      </w:pPr>
      <w:rPr>
        <w:b/>
        <w:bCs/>
      </w:rPr>
      <w:tblPr/>
      <w:tcPr>
        <w:tcBorders>
          <w:top w:val="double" w:sz="6" w:space="0" w:color="F47D31" w:themeColor="accent2"/>
          <w:left w:val="single" w:sz="8" w:space="0" w:color="F47D31" w:themeColor="accent2"/>
          <w:bottom w:val="single" w:sz="8" w:space="0" w:color="F47D31" w:themeColor="accent2"/>
          <w:right w:val="single" w:sz="8" w:space="0" w:color="F47D31" w:themeColor="accent2"/>
        </w:tcBorders>
      </w:tcPr>
    </w:tblStylePr>
    <w:tblStylePr w:type="firstCol">
      <w:rPr>
        <w:b/>
        <w:bCs/>
      </w:rPr>
    </w:tblStylePr>
    <w:tblStylePr w:type="lastCol">
      <w:rPr>
        <w:b/>
        <w:bCs/>
      </w:rPr>
    </w:tblStylePr>
    <w:tblStylePr w:type="band1Vert">
      <w:tblPr/>
      <w:tcPr>
        <w:tcBorders>
          <w:top w:val="single" w:sz="8" w:space="0" w:color="F47D31" w:themeColor="accent2"/>
          <w:left w:val="single" w:sz="8" w:space="0" w:color="F47D31" w:themeColor="accent2"/>
          <w:bottom w:val="single" w:sz="8" w:space="0" w:color="F47D31" w:themeColor="accent2"/>
          <w:right w:val="single" w:sz="8" w:space="0" w:color="F47D31" w:themeColor="accent2"/>
        </w:tcBorders>
      </w:tcPr>
    </w:tblStylePr>
    <w:tblStylePr w:type="band1Horz">
      <w:tblPr/>
      <w:tcPr>
        <w:tcBorders>
          <w:top w:val="single" w:sz="8" w:space="0" w:color="F47D31" w:themeColor="accent2"/>
          <w:left w:val="single" w:sz="8" w:space="0" w:color="F47D31" w:themeColor="accent2"/>
          <w:bottom w:val="single" w:sz="8" w:space="0" w:color="F47D31" w:themeColor="accent2"/>
          <w:right w:val="single" w:sz="8" w:space="0" w:color="F47D31" w:themeColor="accent2"/>
        </w:tcBorders>
      </w:tcPr>
    </w:tblStylePr>
  </w:style>
  <w:style w:type="table" w:styleId="LightList-Accent3">
    <w:name w:val="Light List Accent 3"/>
    <w:basedOn w:val="TableNormal"/>
    <w:uiPriority w:val="61"/>
    <w:rsid w:val="00A00520"/>
    <w:pPr>
      <w:spacing w:after="0" w:line="240" w:lineRule="auto"/>
    </w:pPr>
    <w:tblPr>
      <w:tblStyleRowBandSize w:val="1"/>
      <w:tblStyleColBandSize w:val="1"/>
      <w:tblBorders>
        <w:top w:val="single" w:sz="8" w:space="0" w:color="9BA3AF" w:themeColor="accent3"/>
        <w:left w:val="single" w:sz="8" w:space="0" w:color="9BA3AF" w:themeColor="accent3"/>
        <w:bottom w:val="single" w:sz="8" w:space="0" w:color="9BA3AF" w:themeColor="accent3"/>
        <w:right w:val="single" w:sz="8" w:space="0" w:color="9BA3AF" w:themeColor="accent3"/>
      </w:tblBorders>
    </w:tblPr>
    <w:tblStylePr w:type="firstRow">
      <w:pPr>
        <w:spacing w:before="0" w:after="0" w:line="240" w:lineRule="auto"/>
      </w:pPr>
      <w:rPr>
        <w:b/>
        <w:bCs/>
        <w:color w:val="FFFFFF" w:themeColor="background1"/>
      </w:rPr>
      <w:tblPr/>
      <w:tcPr>
        <w:shd w:val="clear" w:color="auto" w:fill="9BA3AF" w:themeFill="accent3"/>
      </w:tcPr>
    </w:tblStylePr>
    <w:tblStylePr w:type="lastRow">
      <w:pPr>
        <w:spacing w:before="0" w:after="0" w:line="240" w:lineRule="auto"/>
      </w:pPr>
      <w:rPr>
        <w:b/>
        <w:bCs/>
      </w:rPr>
      <w:tblPr/>
      <w:tcPr>
        <w:tcBorders>
          <w:top w:val="double" w:sz="6" w:space="0" w:color="9BA3AF" w:themeColor="accent3"/>
          <w:left w:val="single" w:sz="8" w:space="0" w:color="9BA3AF" w:themeColor="accent3"/>
          <w:bottom w:val="single" w:sz="8" w:space="0" w:color="9BA3AF" w:themeColor="accent3"/>
          <w:right w:val="single" w:sz="8" w:space="0" w:color="9BA3AF" w:themeColor="accent3"/>
        </w:tcBorders>
      </w:tcPr>
    </w:tblStylePr>
    <w:tblStylePr w:type="firstCol">
      <w:rPr>
        <w:b/>
        <w:bCs/>
      </w:rPr>
    </w:tblStylePr>
    <w:tblStylePr w:type="lastCol">
      <w:rPr>
        <w:b/>
        <w:bCs/>
      </w:rPr>
    </w:tblStylePr>
    <w:tblStylePr w:type="band1Vert">
      <w:tblPr/>
      <w:tcPr>
        <w:tcBorders>
          <w:top w:val="single" w:sz="8" w:space="0" w:color="9BA3AF" w:themeColor="accent3"/>
          <w:left w:val="single" w:sz="8" w:space="0" w:color="9BA3AF" w:themeColor="accent3"/>
          <w:bottom w:val="single" w:sz="8" w:space="0" w:color="9BA3AF" w:themeColor="accent3"/>
          <w:right w:val="single" w:sz="8" w:space="0" w:color="9BA3AF" w:themeColor="accent3"/>
        </w:tcBorders>
      </w:tcPr>
    </w:tblStylePr>
    <w:tblStylePr w:type="band1Horz">
      <w:tblPr/>
      <w:tcPr>
        <w:tcBorders>
          <w:top w:val="single" w:sz="8" w:space="0" w:color="9BA3AF" w:themeColor="accent3"/>
          <w:left w:val="single" w:sz="8" w:space="0" w:color="9BA3AF" w:themeColor="accent3"/>
          <w:bottom w:val="single" w:sz="8" w:space="0" w:color="9BA3AF" w:themeColor="accent3"/>
          <w:right w:val="single" w:sz="8" w:space="0" w:color="9BA3AF" w:themeColor="accent3"/>
        </w:tcBorders>
      </w:tcPr>
    </w:tblStylePr>
  </w:style>
  <w:style w:type="paragraph" w:styleId="TOC1">
    <w:name w:val="toc 1"/>
    <w:basedOn w:val="Normal"/>
    <w:next w:val="Normal"/>
    <w:autoRedefine/>
    <w:uiPriority w:val="39"/>
    <w:unhideWhenUsed/>
    <w:rsid w:val="00B81433"/>
    <w:pPr>
      <w:tabs>
        <w:tab w:val="left" w:pos="1260"/>
        <w:tab w:val="right" w:leader="dot" w:pos="8640"/>
      </w:tabs>
      <w:spacing w:before="240" w:line="240" w:lineRule="auto"/>
      <w:ind w:left="1260" w:hanging="554"/>
    </w:pPr>
    <w:rPr>
      <w:b/>
      <w:caps/>
      <w:noProof/>
      <w:lang w:val="en-CA"/>
    </w:rPr>
  </w:style>
  <w:style w:type="character" w:styleId="Hyperlink">
    <w:name w:val="Hyperlink"/>
    <w:basedOn w:val="DefaultParagraphFont"/>
    <w:uiPriority w:val="99"/>
    <w:unhideWhenUsed/>
    <w:rsid w:val="00292F60"/>
    <w:rPr>
      <w:color w:val="F47D31" w:themeColor="hyperlink"/>
      <w:u w:val="single"/>
    </w:rPr>
  </w:style>
  <w:style w:type="paragraph" w:styleId="TOC2">
    <w:name w:val="toc 2"/>
    <w:basedOn w:val="Normal"/>
    <w:next w:val="Normal"/>
    <w:autoRedefine/>
    <w:uiPriority w:val="39"/>
    <w:unhideWhenUsed/>
    <w:rsid w:val="00B81433"/>
    <w:pPr>
      <w:tabs>
        <w:tab w:val="left" w:pos="1701"/>
        <w:tab w:val="right" w:leader="dot" w:pos="8647"/>
      </w:tabs>
      <w:spacing w:before="0"/>
      <w:ind w:left="1260" w:hanging="540"/>
    </w:pPr>
  </w:style>
  <w:style w:type="character" w:customStyle="1" w:styleId="Heading3Char">
    <w:name w:val="Heading 3 Char"/>
    <w:basedOn w:val="DefaultParagraphFont"/>
    <w:link w:val="Heading3"/>
    <w:uiPriority w:val="9"/>
    <w:rsid w:val="00B32B73"/>
    <w:rPr>
      <w:rFonts w:eastAsiaTheme="majorEastAsia" w:cstheme="majorBidi"/>
      <w:b/>
      <w:sz w:val="24"/>
      <w:szCs w:val="24"/>
    </w:rPr>
  </w:style>
  <w:style w:type="character" w:customStyle="1" w:styleId="Heading4Char">
    <w:name w:val="Heading 4 Char"/>
    <w:basedOn w:val="DefaultParagraphFont"/>
    <w:link w:val="Heading4"/>
    <w:uiPriority w:val="9"/>
    <w:rsid w:val="00BC0E8A"/>
    <w:rPr>
      <w:rFonts w:asciiTheme="majorHAnsi" w:eastAsiaTheme="majorEastAsia" w:hAnsiTheme="majorHAnsi" w:cstheme="majorBidi"/>
      <w:i/>
      <w:iCs/>
      <w:color w:val="0F213E" w:themeColor="accent1" w:themeShade="BF"/>
    </w:rPr>
  </w:style>
  <w:style w:type="paragraph" w:styleId="TOC3">
    <w:name w:val="toc 3"/>
    <w:basedOn w:val="Normal"/>
    <w:next w:val="Normal"/>
    <w:autoRedefine/>
    <w:uiPriority w:val="39"/>
    <w:unhideWhenUsed/>
    <w:rsid w:val="00B81433"/>
    <w:pPr>
      <w:tabs>
        <w:tab w:val="right" w:leader="dot" w:pos="8647"/>
      </w:tabs>
      <w:spacing w:before="0"/>
      <w:ind w:left="1980" w:hanging="720"/>
    </w:pPr>
  </w:style>
  <w:style w:type="character" w:styleId="Strong">
    <w:name w:val="Strong"/>
    <w:uiPriority w:val="22"/>
    <w:qFormat/>
    <w:rsid w:val="001B20E3"/>
  </w:style>
  <w:style w:type="paragraph" w:styleId="TOC4">
    <w:name w:val="toc 4"/>
    <w:basedOn w:val="Normal"/>
    <w:next w:val="Normal"/>
    <w:autoRedefine/>
    <w:uiPriority w:val="39"/>
    <w:unhideWhenUsed/>
    <w:rsid w:val="00D07A62"/>
    <w:pPr>
      <w:spacing w:before="0" w:after="100" w:line="259" w:lineRule="auto"/>
      <w:ind w:left="660"/>
      <w:jc w:val="left"/>
    </w:pPr>
    <w:rPr>
      <w:rFonts w:eastAsiaTheme="minorEastAsia"/>
      <w:lang w:val="en-CA" w:eastAsia="en-CA"/>
    </w:rPr>
  </w:style>
  <w:style w:type="paragraph" w:styleId="TOC5">
    <w:name w:val="toc 5"/>
    <w:basedOn w:val="Normal"/>
    <w:next w:val="Normal"/>
    <w:autoRedefine/>
    <w:uiPriority w:val="39"/>
    <w:unhideWhenUsed/>
    <w:rsid w:val="00D07A62"/>
    <w:pPr>
      <w:spacing w:before="0" w:after="100" w:line="259" w:lineRule="auto"/>
      <w:ind w:left="880"/>
      <w:jc w:val="left"/>
    </w:pPr>
    <w:rPr>
      <w:rFonts w:eastAsiaTheme="minorEastAsia"/>
      <w:lang w:val="en-CA" w:eastAsia="en-CA"/>
    </w:rPr>
  </w:style>
  <w:style w:type="paragraph" w:styleId="TOC6">
    <w:name w:val="toc 6"/>
    <w:basedOn w:val="Normal"/>
    <w:next w:val="Normal"/>
    <w:autoRedefine/>
    <w:uiPriority w:val="39"/>
    <w:unhideWhenUsed/>
    <w:rsid w:val="00D07A62"/>
    <w:pPr>
      <w:spacing w:before="0" w:after="100" w:line="259" w:lineRule="auto"/>
      <w:ind w:left="1100"/>
      <w:jc w:val="left"/>
    </w:pPr>
    <w:rPr>
      <w:rFonts w:eastAsiaTheme="minorEastAsia"/>
      <w:lang w:val="en-CA" w:eastAsia="en-CA"/>
    </w:rPr>
  </w:style>
  <w:style w:type="paragraph" w:styleId="TOC7">
    <w:name w:val="toc 7"/>
    <w:basedOn w:val="Normal"/>
    <w:next w:val="Normal"/>
    <w:autoRedefine/>
    <w:uiPriority w:val="39"/>
    <w:unhideWhenUsed/>
    <w:rsid w:val="00D07A62"/>
    <w:pPr>
      <w:spacing w:before="0" w:after="100" w:line="259" w:lineRule="auto"/>
      <w:ind w:left="1320"/>
      <w:jc w:val="left"/>
    </w:pPr>
    <w:rPr>
      <w:rFonts w:eastAsiaTheme="minorEastAsia"/>
      <w:lang w:val="en-CA" w:eastAsia="en-CA"/>
    </w:rPr>
  </w:style>
  <w:style w:type="paragraph" w:styleId="TOC8">
    <w:name w:val="toc 8"/>
    <w:basedOn w:val="Normal"/>
    <w:next w:val="Normal"/>
    <w:autoRedefine/>
    <w:uiPriority w:val="39"/>
    <w:unhideWhenUsed/>
    <w:rsid w:val="00D07A62"/>
    <w:pPr>
      <w:spacing w:before="0" w:after="100" w:line="259" w:lineRule="auto"/>
      <w:ind w:left="1540"/>
      <w:jc w:val="left"/>
    </w:pPr>
    <w:rPr>
      <w:rFonts w:eastAsiaTheme="minorEastAsia"/>
      <w:lang w:val="en-CA" w:eastAsia="en-CA"/>
    </w:rPr>
  </w:style>
  <w:style w:type="paragraph" w:styleId="TOC9">
    <w:name w:val="toc 9"/>
    <w:basedOn w:val="Normal"/>
    <w:next w:val="Normal"/>
    <w:autoRedefine/>
    <w:uiPriority w:val="39"/>
    <w:unhideWhenUsed/>
    <w:rsid w:val="00D07A62"/>
    <w:pPr>
      <w:spacing w:before="0" w:after="100" w:line="259" w:lineRule="auto"/>
      <w:ind w:left="1760"/>
      <w:jc w:val="left"/>
    </w:pPr>
    <w:rPr>
      <w:rFonts w:eastAsiaTheme="minorEastAsia"/>
      <w:lang w:val="en-CA" w:eastAsia="en-CA"/>
    </w:rPr>
  </w:style>
  <w:style w:type="numbering" w:customStyle="1" w:styleId="NoList1">
    <w:name w:val="No List1"/>
    <w:next w:val="NoList"/>
    <w:uiPriority w:val="99"/>
    <w:semiHidden/>
    <w:unhideWhenUsed/>
    <w:rsid w:val="009933C7"/>
  </w:style>
  <w:style w:type="paragraph" w:customStyle="1" w:styleId="NoSpacing1">
    <w:name w:val="No Spacing1"/>
    <w:next w:val="NoSpacing"/>
    <w:link w:val="NoSpacingChar"/>
    <w:uiPriority w:val="1"/>
    <w:qFormat/>
    <w:rsid w:val="009933C7"/>
    <w:pPr>
      <w:spacing w:after="0" w:line="240" w:lineRule="auto"/>
    </w:pPr>
    <w:rPr>
      <w:rFonts w:eastAsia="Times New Roman"/>
    </w:rPr>
  </w:style>
  <w:style w:type="character" w:customStyle="1" w:styleId="NoSpacingChar">
    <w:name w:val="No Spacing Char"/>
    <w:basedOn w:val="DefaultParagraphFont"/>
    <w:link w:val="NoSpacing1"/>
    <w:uiPriority w:val="1"/>
    <w:rsid w:val="009933C7"/>
    <w:rPr>
      <w:rFonts w:eastAsia="Times New Roman"/>
      <w:lang w:val="en-US"/>
    </w:rPr>
  </w:style>
  <w:style w:type="paragraph" w:customStyle="1" w:styleId="TOCHeading1">
    <w:name w:val="TOC Heading1"/>
    <w:basedOn w:val="Heading1"/>
    <w:next w:val="Normal"/>
    <w:uiPriority w:val="39"/>
    <w:unhideWhenUsed/>
    <w:qFormat/>
    <w:rsid w:val="009933C7"/>
    <w:pPr>
      <w:spacing w:before="240" w:line="259" w:lineRule="auto"/>
      <w:jc w:val="left"/>
      <w:outlineLvl w:val="9"/>
    </w:pPr>
    <w:rPr>
      <w:rFonts w:ascii="Calibri Light" w:hAnsi="Calibri Light" w:cs="Times New Roman"/>
      <w:b w:val="0"/>
      <w:bCs/>
      <w:color w:val="2E74B5"/>
      <w:sz w:val="32"/>
      <w:szCs w:val="32"/>
    </w:rPr>
  </w:style>
  <w:style w:type="paragraph" w:customStyle="1" w:styleId="Default">
    <w:name w:val="Default"/>
    <w:rsid w:val="009933C7"/>
    <w:pPr>
      <w:autoSpaceDE w:val="0"/>
      <w:autoSpaceDN w:val="0"/>
      <w:adjustRightInd w:val="0"/>
      <w:spacing w:after="0" w:line="240" w:lineRule="auto"/>
    </w:pPr>
    <w:rPr>
      <w:rFonts w:ascii="Arial" w:hAnsi="Arial" w:cs="Arial"/>
      <w:color w:val="000000"/>
      <w:sz w:val="24"/>
      <w:szCs w:val="24"/>
      <w:lang w:val="en-CA"/>
    </w:rPr>
  </w:style>
  <w:style w:type="character" w:styleId="CommentReference">
    <w:name w:val="annotation reference"/>
    <w:basedOn w:val="DefaultParagraphFont"/>
    <w:uiPriority w:val="99"/>
    <w:semiHidden/>
    <w:unhideWhenUsed/>
    <w:rsid w:val="009933C7"/>
    <w:rPr>
      <w:sz w:val="16"/>
      <w:szCs w:val="16"/>
    </w:rPr>
  </w:style>
  <w:style w:type="paragraph" w:customStyle="1" w:styleId="CommentText1">
    <w:name w:val="Comment Text1"/>
    <w:basedOn w:val="Normal"/>
    <w:next w:val="CommentText"/>
    <w:link w:val="CommentTextChar"/>
    <w:uiPriority w:val="99"/>
    <w:semiHidden/>
    <w:unhideWhenUsed/>
    <w:rsid w:val="009933C7"/>
    <w:pPr>
      <w:spacing w:before="0" w:line="240" w:lineRule="auto"/>
      <w:ind w:left="0"/>
      <w:jc w:val="left"/>
    </w:pPr>
    <w:rPr>
      <w:rFonts w:ascii="Calibri" w:hAnsi="Calibri" w:cs="Times New Roman"/>
      <w:sz w:val="20"/>
      <w:szCs w:val="20"/>
      <w:lang w:eastAsia="en-CA"/>
    </w:rPr>
  </w:style>
  <w:style w:type="character" w:customStyle="1" w:styleId="CommentTextChar">
    <w:name w:val="Comment Text Char"/>
    <w:basedOn w:val="DefaultParagraphFont"/>
    <w:link w:val="CommentText1"/>
    <w:uiPriority w:val="99"/>
    <w:rsid w:val="009933C7"/>
    <w:rPr>
      <w:rFonts w:ascii="Calibri" w:hAnsi="Calibri" w:cs="Times New Roman"/>
      <w:sz w:val="20"/>
      <w:szCs w:val="20"/>
      <w:lang w:eastAsia="en-CA"/>
    </w:rPr>
  </w:style>
  <w:style w:type="paragraph" w:customStyle="1" w:styleId="CommentSubject1">
    <w:name w:val="Comment Subject1"/>
    <w:basedOn w:val="CommentText"/>
    <w:next w:val="CommentText"/>
    <w:uiPriority w:val="99"/>
    <w:semiHidden/>
    <w:unhideWhenUsed/>
    <w:rsid w:val="009933C7"/>
    <w:pPr>
      <w:spacing w:before="0"/>
      <w:ind w:left="0"/>
      <w:jc w:val="left"/>
    </w:pPr>
    <w:rPr>
      <w:rFonts w:ascii="Calibri" w:hAnsi="Calibri" w:cs="Times New Roman"/>
      <w:b/>
      <w:bCs/>
      <w:lang w:val="en-CA" w:eastAsia="en-CA"/>
    </w:rPr>
  </w:style>
  <w:style w:type="character" w:customStyle="1" w:styleId="CommentSubjectChar">
    <w:name w:val="Comment Subject Char"/>
    <w:basedOn w:val="CommentTextChar"/>
    <w:link w:val="CommentSubject"/>
    <w:uiPriority w:val="99"/>
    <w:semiHidden/>
    <w:rsid w:val="009933C7"/>
    <w:rPr>
      <w:rFonts w:ascii="Calibri" w:hAnsi="Calibri" w:cs="Times New Roman"/>
      <w:b/>
      <w:bCs/>
      <w:sz w:val="20"/>
      <w:szCs w:val="20"/>
      <w:lang w:eastAsia="en-CA"/>
    </w:rPr>
  </w:style>
  <w:style w:type="paragraph" w:customStyle="1" w:styleId="BodyText1">
    <w:name w:val="Body Text1"/>
    <w:basedOn w:val="Normal"/>
    <w:next w:val="BodyText"/>
    <w:link w:val="BodyTextChar"/>
    <w:uiPriority w:val="1"/>
    <w:unhideWhenUsed/>
    <w:qFormat/>
    <w:rsid w:val="009933C7"/>
    <w:pPr>
      <w:widowControl w:val="0"/>
      <w:spacing w:before="0" w:line="240" w:lineRule="auto"/>
      <w:ind w:left="119" w:hanging="360"/>
      <w:jc w:val="left"/>
    </w:pPr>
    <w:rPr>
      <w:rFonts w:ascii="Calibri" w:eastAsia="Calibri" w:hAnsi="Calibri"/>
    </w:rPr>
  </w:style>
  <w:style w:type="character" w:customStyle="1" w:styleId="BodyTextChar">
    <w:name w:val="Body Text Char"/>
    <w:basedOn w:val="DefaultParagraphFont"/>
    <w:link w:val="BodyText1"/>
    <w:uiPriority w:val="1"/>
    <w:rsid w:val="009933C7"/>
    <w:rPr>
      <w:rFonts w:ascii="Calibri" w:eastAsia="Calibri" w:hAnsi="Calibri"/>
      <w:lang w:val="en-US"/>
    </w:rPr>
  </w:style>
  <w:style w:type="paragraph" w:styleId="NormalWeb">
    <w:name w:val="Normal (Web)"/>
    <w:basedOn w:val="Normal"/>
    <w:uiPriority w:val="99"/>
    <w:unhideWhenUsed/>
    <w:rsid w:val="009933C7"/>
    <w:pPr>
      <w:spacing w:before="100" w:beforeAutospacing="1" w:after="100" w:afterAutospacing="1" w:line="240" w:lineRule="auto"/>
      <w:ind w:left="0"/>
      <w:jc w:val="left"/>
    </w:pPr>
    <w:rPr>
      <w:rFonts w:ascii="Times New Roman" w:eastAsia="Times New Roman" w:hAnsi="Times New Roman" w:cs="Times New Roman"/>
      <w:sz w:val="24"/>
      <w:szCs w:val="24"/>
      <w:lang w:val="en-CA" w:eastAsia="en-CA"/>
    </w:rPr>
  </w:style>
  <w:style w:type="paragraph" w:customStyle="1" w:styleId="BodyTextIndent1">
    <w:name w:val="Body Text Indent1"/>
    <w:basedOn w:val="Normal"/>
    <w:next w:val="BodyTextIndent"/>
    <w:link w:val="BodyTextIndentChar"/>
    <w:uiPriority w:val="99"/>
    <w:semiHidden/>
    <w:unhideWhenUsed/>
    <w:rsid w:val="009933C7"/>
    <w:pPr>
      <w:spacing w:before="0" w:after="120" w:line="240" w:lineRule="auto"/>
      <w:ind w:left="283"/>
      <w:jc w:val="left"/>
    </w:pPr>
    <w:rPr>
      <w:rFonts w:ascii="Calibri" w:hAnsi="Calibri" w:cs="Times New Roman"/>
      <w:lang w:eastAsia="en-CA"/>
    </w:rPr>
  </w:style>
  <w:style w:type="character" w:customStyle="1" w:styleId="BodyTextIndentChar">
    <w:name w:val="Body Text Indent Char"/>
    <w:basedOn w:val="DefaultParagraphFont"/>
    <w:link w:val="BodyTextIndent1"/>
    <w:uiPriority w:val="99"/>
    <w:semiHidden/>
    <w:rsid w:val="009933C7"/>
    <w:rPr>
      <w:rFonts w:ascii="Calibri" w:hAnsi="Calibri" w:cs="Times New Roman"/>
      <w:lang w:eastAsia="en-CA"/>
    </w:rPr>
  </w:style>
  <w:style w:type="paragraph" w:customStyle="1" w:styleId="BodyTextIndent21">
    <w:name w:val="Body Text Indent 21"/>
    <w:basedOn w:val="Normal"/>
    <w:next w:val="BodyTextIndent2"/>
    <w:link w:val="BodyTextIndent2Char"/>
    <w:uiPriority w:val="99"/>
    <w:semiHidden/>
    <w:unhideWhenUsed/>
    <w:rsid w:val="009933C7"/>
    <w:pPr>
      <w:spacing w:before="0" w:after="120" w:line="480" w:lineRule="auto"/>
      <w:ind w:left="283"/>
      <w:jc w:val="left"/>
    </w:pPr>
    <w:rPr>
      <w:rFonts w:ascii="Calibri" w:hAnsi="Calibri" w:cs="Times New Roman"/>
      <w:lang w:eastAsia="en-CA"/>
    </w:rPr>
  </w:style>
  <w:style w:type="character" w:customStyle="1" w:styleId="BodyTextIndent2Char">
    <w:name w:val="Body Text Indent 2 Char"/>
    <w:basedOn w:val="DefaultParagraphFont"/>
    <w:link w:val="BodyTextIndent21"/>
    <w:uiPriority w:val="99"/>
    <w:semiHidden/>
    <w:rsid w:val="009933C7"/>
    <w:rPr>
      <w:rFonts w:ascii="Calibri" w:hAnsi="Calibri" w:cs="Times New Roman"/>
      <w:lang w:eastAsia="en-CA"/>
    </w:rPr>
  </w:style>
  <w:style w:type="paragraph" w:customStyle="1" w:styleId="BodyTextIndent31">
    <w:name w:val="Body Text Indent 31"/>
    <w:basedOn w:val="Normal"/>
    <w:next w:val="BodyTextIndent3"/>
    <w:link w:val="BodyTextIndent3Char"/>
    <w:uiPriority w:val="99"/>
    <w:semiHidden/>
    <w:unhideWhenUsed/>
    <w:rsid w:val="009933C7"/>
    <w:pPr>
      <w:spacing w:before="0" w:after="120" w:line="240" w:lineRule="auto"/>
      <w:ind w:left="283"/>
      <w:jc w:val="left"/>
    </w:pPr>
    <w:rPr>
      <w:rFonts w:ascii="Calibri" w:hAnsi="Calibri" w:cs="Times New Roman"/>
      <w:sz w:val="16"/>
      <w:szCs w:val="16"/>
      <w:lang w:eastAsia="en-CA"/>
    </w:rPr>
  </w:style>
  <w:style w:type="character" w:customStyle="1" w:styleId="BodyTextIndent3Char">
    <w:name w:val="Body Text Indent 3 Char"/>
    <w:basedOn w:val="DefaultParagraphFont"/>
    <w:link w:val="BodyTextIndent31"/>
    <w:uiPriority w:val="99"/>
    <w:semiHidden/>
    <w:rsid w:val="009933C7"/>
    <w:rPr>
      <w:rFonts w:ascii="Calibri" w:hAnsi="Calibri" w:cs="Times New Roman"/>
      <w:sz w:val="16"/>
      <w:szCs w:val="16"/>
      <w:lang w:eastAsia="en-CA"/>
    </w:rPr>
  </w:style>
  <w:style w:type="paragraph" w:customStyle="1" w:styleId="Title1">
    <w:name w:val="Title1"/>
    <w:basedOn w:val="Normal"/>
    <w:next w:val="Normal"/>
    <w:uiPriority w:val="10"/>
    <w:qFormat/>
    <w:rsid w:val="009933C7"/>
    <w:pPr>
      <w:spacing w:before="0" w:line="240" w:lineRule="auto"/>
      <w:ind w:left="0"/>
      <w:contextualSpacing/>
      <w:jc w:val="left"/>
    </w:pPr>
    <w:rPr>
      <w:rFonts w:ascii="Calibri Light" w:eastAsia="Times New Roman" w:hAnsi="Calibri Light" w:cs="Times New Roman"/>
      <w:spacing w:val="-10"/>
      <w:kern w:val="28"/>
      <w:sz w:val="56"/>
      <w:szCs w:val="56"/>
      <w:lang w:val="en-CA" w:eastAsia="en-CA"/>
    </w:rPr>
  </w:style>
  <w:style w:type="character" w:customStyle="1" w:styleId="TitleChar">
    <w:name w:val="Title Char"/>
    <w:basedOn w:val="DefaultParagraphFont"/>
    <w:link w:val="Title"/>
    <w:uiPriority w:val="10"/>
    <w:rsid w:val="009933C7"/>
    <w:rPr>
      <w:rFonts w:ascii="Calibri Light" w:eastAsia="Times New Roman" w:hAnsi="Calibri Light" w:cs="Times New Roman"/>
      <w:spacing w:val="-10"/>
      <w:kern w:val="28"/>
      <w:sz w:val="56"/>
      <w:szCs w:val="56"/>
      <w:lang w:eastAsia="en-CA"/>
    </w:rPr>
  </w:style>
  <w:style w:type="paragraph" w:styleId="PlainText">
    <w:name w:val="Plain Text"/>
    <w:basedOn w:val="Normal"/>
    <w:link w:val="PlainTextChar"/>
    <w:rsid w:val="009933C7"/>
    <w:pPr>
      <w:spacing w:before="0" w:line="240" w:lineRule="auto"/>
      <w:ind w:left="0"/>
      <w:jc w:val="left"/>
    </w:pPr>
    <w:rPr>
      <w:rFonts w:ascii="Courier New" w:eastAsia="Times New Roman" w:hAnsi="Courier New" w:cs="Courier New"/>
      <w:sz w:val="20"/>
      <w:szCs w:val="20"/>
    </w:rPr>
  </w:style>
  <w:style w:type="character" w:customStyle="1" w:styleId="PlainTextChar">
    <w:name w:val="Plain Text Char"/>
    <w:basedOn w:val="DefaultParagraphFont"/>
    <w:link w:val="PlainText"/>
    <w:rsid w:val="009933C7"/>
    <w:rPr>
      <w:rFonts w:ascii="Courier New" w:eastAsia="Times New Roman" w:hAnsi="Courier New" w:cs="Courier New"/>
      <w:sz w:val="20"/>
      <w:szCs w:val="20"/>
    </w:rPr>
  </w:style>
  <w:style w:type="paragraph" w:customStyle="1" w:styleId="TableParagraph">
    <w:name w:val="Table Paragraph"/>
    <w:basedOn w:val="Normal"/>
    <w:uiPriority w:val="1"/>
    <w:qFormat/>
    <w:rsid w:val="009933C7"/>
    <w:pPr>
      <w:widowControl w:val="0"/>
      <w:spacing w:before="0" w:line="240" w:lineRule="auto"/>
      <w:ind w:left="0"/>
      <w:jc w:val="left"/>
    </w:pPr>
  </w:style>
  <w:style w:type="paragraph" w:styleId="NoSpacing">
    <w:name w:val="No Spacing"/>
    <w:uiPriority w:val="1"/>
    <w:qFormat/>
    <w:rsid w:val="009933C7"/>
    <w:pPr>
      <w:spacing w:after="0" w:line="240" w:lineRule="auto"/>
      <w:ind w:left="720"/>
      <w:jc w:val="both"/>
    </w:pPr>
  </w:style>
  <w:style w:type="paragraph" w:styleId="CommentText">
    <w:name w:val="annotation text"/>
    <w:basedOn w:val="Normal"/>
    <w:link w:val="CommentTextChar1"/>
    <w:uiPriority w:val="99"/>
    <w:unhideWhenUsed/>
    <w:rsid w:val="009933C7"/>
    <w:pPr>
      <w:spacing w:line="240" w:lineRule="auto"/>
    </w:pPr>
    <w:rPr>
      <w:sz w:val="20"/>
      <w:szCs w:val="20"/>
    </w:rPr>
  </w:style>
  <w:style w:type="character" w:customStyle="1" w:styleId="CommentTextChar1">
    <w:name w:val="Comment Text Char1"/>
    <w:basedOn w:val="DefaultParagraphFont"/>
    <w:link w:val="CommentText"/>
    <w:uiPriority w:val="99"/>
    <w:rsid w:val="009933C7"/>
    <w:rPr>
      <w:sz w:val="20"/>
      <w:szCs w:val="20"/>
    </w:rPr>
  </w:style>
  <w:style w:type="paragraph" w:styleId="CommentSubject">
    <w:name w:val="annotation subject"/>
    <w:basedOn w:val="CommentText"/>
    <w:next w:val="CommentText"/>
    <w:link w:val="CommentSubjectChar"/>
    <w:uiPriority w:val="99"/>
    <w:semiHidden/>
    <w:unhideWhenUsed/>
    <w:rsid w:val="009933C7"/>
    <w:rPr>
      <w:rFonts w:ascii="Calibri" w:hAnsi="Calibri" w:cs="Times New Roman"/>
      <w:b/>
      <w:bCs/>
      <w:lang w:eastAsia="en-CA"/>
    </w:rPr>
  </w:style>
  <w:style w:type="character" w:customStyle="1" w:styleId="CommentSubjectChar1">
    <w:name w:val="Comment Subject Char1"/>
    <w:basedOn w:val="CommentTextChar1"/>
    <w:uiPriority w:val="99"/>
    <w:semiHidden/>
    <w:rsid w:val="009933C7"/>
    <w:rPr>
      <w:b/>
      <w:bCs/>
      <w:sz w:val="20"/>
      <w:szCs w:val="20"/>
    </w:rPr>
  </w:style>
  <w:style w:type="paragraph" w:styleId="BodyText">
    <w:name w:val="Body Text"/>
    <w:basedOn w:val="Normal"/>
    <w:link w:val="BodyTextChar1"/>
    <w:uiPriority w:val="99"/>
    <w:unhideWhenUsed/>
    <w:rsid w:val="009933C7"/>
    <w:pPr>
      <w:spacing w:after="120"/>
    </w:pPr>
  </w:style>
  <w:style w:type="character" w:customStyle="1" w:styleId="BodyTextChar1">
    <w:name w:val="Body Text Char1"/>
    <w:basedOn w:val="DefaultParagraphFont"/>
    <w:link w:val="BodyText"/>
    <w:uiPriority w:val="99"/>
    <w:rsid w:val="009933C7"/>
  </w:style>
  <w:style w:type="paragraph" w:styleId="BodyTextIndent">
    <w:name w:val="Body Text Indent"/>
    <w:basedOn w:val="Normal"/>
    <w:link w:val="BodyTextIndentChar1"/>
    <w:uiPriority w:val="99"/>
    <w:semiHidden/>
    <w:unhideWhenUsed/>
    <w:rsid w:val="009933C7"/>
    <w:pPr>
      <w:spacing w:after="120"/>
      <w:ind w:left="283"/>
    </w:pPr>
  </w:style>
  <w:style w:type="character" w:customStyle="1" w:styleId="BodyTextIndentChar1">
    <w:name w:val="Body Text Indent Char1"/>
    <w:basedOn w:val="DefaultParagraphFont"/>
    <w:link w:val="BodyTextIndent"/>
    <w:uiPriority w:val="99"/>
    <w:semiHidden/>
    <w:rsid w:val="009933C7"/>
  </w:style>
  <w:style w:type="paragraph" w:styleId="BodyTextIndent2">
    <w:name w:val="Body Text Indent 2"/>
    <w:basedOn w:val="Normal"/>
    <w:link w:val="BodyTextIndent2Char1"/>
    <w:uiPriority w:val="99"/>
    <w:semiHidden/>
    <w:unhideWhenUsed/>
    <w:rsid w:val="009933C7"/>
    <w:pPr>
      <w:spacing w:after="120" w:line="480" w:lineRule="auto"/>
      <w:ind w:left="283"/>
    </w:pPr>
  </w:style>
  <w:style w:type="character" w:customStyle="1" w:styleId="BodyTextIndent2Char1">
    <w:name w:val="Body Text Indent 2 Char1"/>
    <w:basedOn w:val="DefaultParagraphFont"/>
    <w:link w:val="BodyTextIndent2"/>
    <w:uiPriority w:val="99"/>
    <w:semiHidden/>
    <w:rsid w:val="009933C7"/>
  </w:style>
  <w:style w:type="paragraph" w:styleId="BodyTextIndent3">
    <w:name w:val="Body Text Indent 3"/>
    <w:basedOn w:val="Normal"/>
    <w:link w:val="BodyTextIndent3Char1"/>
    <w:uiPriority w:val="99"/>
    <w:semiHidden/>
    <w:unhideWhenUsed/>
    <w:rsid w:val="009933C7"/>
    <w:pPr>
      <w:spacing w:after="120"/>
      <w:ind w:left="283"/>
    </w:pPr>
    <w:rPr>
      <w:sz w:val="16"/>
      <w:szCs w:val="16"/>
    </w:rPr>
  </w:style>
  <w:style w:type="character" w:customStyle="1" w:styleId="BodyTextIndent3Char1">
    <w:name w:val="Body Text Indent 3 Char1"/>
    <w:basedOn w:val="DefaultParagraphFont"/>
    <w:link w:val="BodyTextIndent3"/>
    <w:uiPriority w:val="99"/>
    <w:semiHidden/>
    <w:rsid w:val="009933C7"/>
    <w:rPr>
      <w:sz w:val="16"/>
      <w:szCs w:val="16"/>
    </w:rPr>
  </w:style>
  <w:style w:type="paragraph" w:styleId="Title">
    <w:name w:val="Title"/>
    <w:basedOn w:val="Normal"/>
    <w:next w:val="Normal"/>
    <w:link w:val="TitleChar"/>
    <w:uiPriority w:val="10"/>
    <w:qFormat/>
    <w:rsid w:val="009933C7"/>
    <w:pPr>
      <w:spacing w:before="0" w:line="240" w:lineRule="auto"/>
      <w:contextualSpacing/>
    </w:pPr>
    <w:rPr>
      <w:rFonts w:ascii="Calibri Light" w:eastAsia="Times New Roman" w:hAnsi="Calibri Light" w:cs="Times New Roman"/>
      <w:spacing w:val="-10"/>
      <w:kern w:val="28"/>
      <w:sz w:val="56"/>
      <w:szCs w:val="56"/>
      <w:lang w:eastAsia="en-CA"/>
    </w:rPr>
  </w:style>
  <w:style w:type="character" w:customStyle="1" w:styleId="TitleChar1">
    <w:name w:val="Title Char1"/>
    <w:basedOn w:val="DefaultParagraphFont"/>
    <w:uiPriority w:val="10"/>
    <w:rsid w:val="009933C7"/>
    <w:rPr>
      <w:rFonts w:asciiTheme="majorHAnsi" w:eastAsiaTheme="majorEastAsia" w:hAnsiTheme="majorHAnsi" w:cstheme="majorBidi"/>
      <w:spacing w:val="-10"/>
      <w:kern w:val="28"/>
      <w:sz w:val="56"/>
      <w:szCs w:val="56"/>
    </w:rPr>
  </w:style>
  <w:style w:type="table" w:customStyle="1" w:styleId="GridTable4-Accent41">
    <w:name w:val="Grid Table 4 - Accent 41"/>
    <w:basedOn w:val="TableNormal"/>
    <w:uiPriority w:val="49"/>
    <w:rsid w:val="00EC4A31"/>
    <w:pPr>
      <w:spacing w:after="0" w:line="240" w:lineRule="auto"/>
    </w:pPr>
    <w:tblPr>
      <w:tblStyleRowBandSize w:val="1"/>
      <w:tblStyleColBandSize w:val="1"/>
      <w:tblBorders>
        <w:top w:val="single" w:sz="4" w:space="0" w:color="909FB7" w:themeColor="accent4" w:themeTint="99"/>
        <w:left w:val="single" w:sz="4" w:space="0" w:color="909FB7" w:themeColor="accent4" w:themeTint="99"/>
        <w:bottom w:val="single" w:sz="4" w:space="0" w:color="909FB7" w:themeColor="accent4" w:themeTint="99"/>
        <w:right w:val="single" w:sz="4" w:space="0" w:color="909FB7" w:themeColor="accent4" w:themeTint="99"/>
        <w:insideH w:val="single" w:sz="4" w:space="0" w:color="909FB7" w:themeColor="accent4" w:themeTint="99"/>
        <w:insideV w:val="single" w:sz="4" w:space="0" w:color="909FB7" w:themeColor="accent4" w:themeTint="99"/>
      </w:tblBorders>
    </w:tblPr>
    <w:tblStylePr w:type="firstRow">
      <w:rPr>
        <w:b/>
        <w:bCs/>
        <w:color w:val="FFFFFF" w:themeColor="background1"/>
      </w:rPr>
      <w:tblPr/>
      <w:tcPr>
        <w:tcBorders>
          <w:top w:val="single" w:sz="4" w:space="0" w:color="51627D" w:themeColor="accent4"/>
          <w:left w:val="single" w:sz="4" w:space="0" w:color="51627D" w:themeColor="accent4"/>
          <w:bottom w:val="single" w:sz="4" w:space="0" w:color="51627D" w:themeColor="accent4"/>
          <w:right w:val="single" w:sz="4" w:space="0" w:color="51627D" w:themeColor="accent4"/>
          <w:insideH w:val="nil"/>
          <w:insideV w:val="nil"/>
        </w:tcBorders>
        <w:shd w:val="clear" w:color="auto" w:fill="51627D" w:themeFill="accent4"/>
      </w:tcPr>
    </w:tblStylePr>
    <w:tblStylePr w:type="lastRow">
      <w:rPr>
        <w:b/>
        <w:bCs/>
      </w:rPr>
      <w:tblPr/>
      <w:tcPr>
        <w:tcBorders>
          <w:top w:val="double" w:sz="4" w:space="0" w:color="51627D" w:themeColor="accent4"/>
        </w:tcBorders>
      </w:tcPr>
    </w:tblStylePr>
    <w:tblStylePr w:type="firstCol">
      <w:rPr>
        <w:b/>
        <w:bCs/>
      </w:rPr>
    </w:tblStylePr>
    <w:tblStylePr w:type="lastCol">
      <w:rPr>
        <w:b/>
        <w:bCs/>
      </w:rPr>
    </w:tblStylePr>
    <w:tblStylePr w:type="band1Vert">
      <w:tblPr/>
      <w:tcPr>
        <w:shd w:val="clear" w:color="auto" w:fill="DADEE7" w:themeFill="accent4" w:themeFillTint="33"/>
      </w:tcPr>
    </w:tblStylePr>
    <w:tblStylePr w:type="band1Horz">
      <w:tblPr/>
      <w:tcPr>
        <w:shd w:val="clear" w:color="auto" w:fill="DADEE7" w:themeFill="accent4" w:themeFillTint="33"/>
      </w:tcPr>
    </w:tblStylePr>
  </w:style>
  <w:style w:type="table" w:customStyle="1" w:styleId="GridTable4-Accent51">
    <w:name w:val="Grid Table 4 - Accent 51"/>
    <w:basedOn w:val="TableNormal"/>
    <w:uiPriority w:val="49"/>
    <w:rsid w:val="00EC4A31"/>
    <w:pPr>
      <w:spacing w:after="0" w:line="240" w:lineRule="auto"/>
    </w:pPr>
    <w:tblPr>
      <w:tblStyleRowBandSize w:val="1"/>
      <w:tblStyleColBandSize w:val="1"/>
      <w:tblBorders>
        <w:top w:val="single" w:sz="4" w:space="0" w:color="ACC1CF" w:themeColor="accent5" w:themeTint="99"/>
        <w:left w:val="single" w:sz="4" w:space="0" w:color="ACC1CF" w:themeColor="accent5" w:themeTint="99"/>
        <w:bottom w:val="single" w:sz="4" w:space="0" w:color="ACC1CF" w:themeColor="accent5" w:themeTint="99"/>
        <w:right w:val="single" w:sz="4" w:space="0" w:color="ACC1CF" w:themeColor="accent5" w:themeTint="99"/>
        <w:insideH w:val="single" w:sz="4" w:space="0" w:color="ACC1CF" w:themeColor="accent5" w:themeTint="99"/>
        <w:insideV w:val="single" w:sz="4" w:space="0" w:color="ACC1CF" w:themeColor="accent5" w:themeTint="99"/>
      </w:tblBorders>
    </w:tblPr>
    <w:tblStylePr w:type="firstRow">
      <w:rPr>
        <w:b/>
        <w:bCs/>
        <w:color w:val="FFFFFF" w:themeColor="background1"/>
      </w:rPr>
      <w:tblPr/>
      <w:tcPr>
        <w:tcBorders>
          <w:top w:val="single" w:sz="4" w:space="0" w:color="7599AF" w:themeColor="accent5"/>
          <w:left w:val="single" w:sz="4" w:space="0" w:color="7599AF" w:themeColor="accent5"/>
          <w:bottom w:val="single" w:sz="4" w:space="0" w:color="7599AF" w:themeColor="accent5"/>
          <w:right w:val="single" w:sz="4" w:space="0" w:color="7599AF" w:themeColor="accent5"/>
          <w:insideH w:val="nil"/>
          <w:insideV w:val="nil"/>
        </w:tcBorders>
        <w:shd w:val="clear" w:color="auto" w:fill="7599AF" w:themeFill="accent5"/>
      </w:tcPr>
    </w:tblStylePr>
    <w:tblStylePr w:type="lastRow">
      <w:rPr>
        <w:b/>
        <w:bCs/>
      </w:rPr>
      <w:tblPr/>
      <w:tcPr>
        <w:tcBorders>
          <w:top w:val="double" w:sz="4" w:space="0" w:color="7599AF" w:themeColor="accent5"/>
        </w:tcBorders>
      </w:tcPr>
    </w:tblStylePr>
    <w:tblStylePr w:type="firstCol">
      <w:rPr>
        <w:b/>
        <w:bCs/>
      </w:rPr>
    </w:tblStylePr>
    <w:tblStylePr w:type="lastCol">
      <w:rPr>
        <w:b/>
        <w:bCs/>
      </w:rPr>
    </w:tblStylePr>
    <w:tblStylePr w:type="band1Vert">
      <w:tblPr/>
      <w:tcPr>
        <w:shd w:val="clear" w:color="auto" w:fill="E3EAEF" w:themeFill="accent5" w:themeFillTint="33"/>
      </w:tcPr>
    </w:tblStylePr>
    <w:tblStylePr w:type="band1Horz">
      <w:tblPr/>
      <w:tcPr>
        <w:shd w:val="clear" w:color="auto" w:fill="E3EAEF" w:themeFill="accent5" w:themeFillTint="33"/>
      </w:tcPr>
    </w:tblStylePr>
  </w:style>
  <w:style w:type="table" w:customStyle="1" w:styleId="GridTable4-Accent11">
    <w:name w:val="Grid Table 4 - Accent 11"/>
    <w:basedOn w:val="TableNormal"/>
    <w:uiPriority w:val="49"/>
    <w:rsid w:val="00DC5BF3"/>
    <w:pPr>
      <w:spacing w:after="0" w:line="240" w:lineRule="auto"/>
    </w:pPr>
    <w:tblPr>
      <w:tblStyleRowBandSize w:val="1"/>
      <w:tblStyleColBandSize w:val="1"/>
      <w:tblBorders>
        <w:top w:val="single" w:sz="4" w:space="0" w:color="3A75CF" w:themeColor="accent1" w:themeTint="99"/>
        <w:left w:val="single" w:sz="4" w:space="0" w:color="3A75CF" w:themeColor="accent1" w:themeTint="99"/>
        <w:bottom w:val="single" w:sz="4" w:space="0" w:color="3A75CF" w:themeColor="accent1" w:themeTint="99"/>
        <w:right w:val="single" w:sz="4" w:space="0" w:color="3A75CF" w:themeColor="accent1" w:themeTint="99"/>
        <w:insideH w:val="single" w:sz="4" w:space="0" w:color="3A75CF" w:themeColor="accent1" w:themeTint="99"/>
        <w:insideV w:val="single" w:sz="4" w:space="0" w:color="3A75CF" w:themeColor="accent1" w:themeTint="99"/>
      </w:tblBorders>
    </w:tblPr>
    <w:tblStylePr w:type="firstRow">
      <w:rPr>
        <w:b/>
        <w:bCs/>
        <w:color w:val="FFFFFF" w:themeColor="background1"/>
      </w:rPr>
      <w:tblPr/>
      <w:tcPr>
        <w:tcBorders>
          <w:top w:val="single" w:sz="4" w:space="0" w:color="142D53" w:themeColor="accent1"/>
          <w:left w:val="single" w:sz="4" w:space="0" w:color="142D53" w:themeColor="accent1"/>
          <w:bottom w:val="single" w:sz="4" w:space="0" w:color="142D53" w:themeColor="accent1"/>
          <w:right w:val="single" w:sz="4" w:space="0" w:color="142D53" w:themeColor="accent1"/>
          <w:insideH w:val="nil"/>
          <w:insideV w:val="nil"/>
        </w:tcBorders>
        <w:shd w:val="clear" w:color="auto" w:fill="142D53" w:themeFill="accent1"/>
      </w:tcPr>
    </w:tblStylePr>
    <w:tblStylePr w:type="lastRow">
      <w:rPr>
        <w:b/>
        <w:bCs/>
      </w:rPr>
      <w:tblPr/>
      <w:tcPr>
        <w:tcBorders>
          <w:top w:val="double" w:sz="4" w:space="0" w:color="142D53" w:themeColor="accent1"/>
        </w:tcBorders>
      </w:tcPr>
    </w:tblStylePr>
    <w:tblStylePr w:type="firstCol">
      <w:rPr>
        <w:b/>
        <w:bCs/>
      </w:rPr>
    </w:tblStylePr>
    <w:tblStylePr w:type="lastCol">
      <w:rPr>
        <w:b/>
        <w:bCs/>
      </w:rPr>
    </w:tblStylePr>
    <w:tblStylePr w:type="band1Vert">
      <w:tblPr/>
      <w:tcPr>
        <w:shd w:val="clear" w:color="auto" w:fill="BDD0EF" w:themeFill="accent1" w:themeFillTint="33"/>
      </w:tcPr>
    </w:tblStylePr>
    <w:tblStylePr w:type="band1Horz">
      <w:tblPr/>
      <w:tcPr>
        <w:shd w:val="clear" w:color="auto" w:fill="BDD0EF" w:themeFill="accent1" w:themeFillTint="33"/>
      </w:tcPr>
    </w:tblStylePr>
  </w:style>
  <w:style w:type="paragraph" w:styleId="FootnoteText">
    <w:name w:val="footnote text"/>
    <w:basedOn w:val="Normal"/>
    <w:link w:val="FootnoteTextChar"/>
    <w:uiPriority w:val="99"/>
    <w:semiHidden/>
    <w:unhideWhenUsed/>
    <w:rsid w:val="00297892"/>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297892"/>
    <w:rPr>
      <w:sz w:val="20"/>
      <w:szCs w:val="20"/>
    </w:rPr>
  </w:style>
  <w:style w:type="character" w:styleId="FootnoteReference">
    <w:name w:val="footnote reference"/>
    <w:basedOn w:val="DefaultParagraphFont"/>
    <w:uiPriority w:val="99"/>
    <w:semiHidden/>
    <w:unhideWhenUsed/>
    <w:rsid w:val="00297892"/>
    <w:rPr>
      <w:vertAlign w:val="superscript"/>
    </w:rPr>
  </w:style>
  <w:style w:type="paragraph" w:styleId="Caption">
    <w:name w:val="caption"/>
    <w:basedOn w:val="Normal"/>
    <w:next w:val="Normal"/>
    <w:uiPriority w:val="35"/>
    <w:unhideWhenUsed/>
    <w:qFormat/>
    <w:rsid w:val="002552B9"/>
    <w:pPr>
      <w:spacing w:before="0" w:after="200" w:line="240" w:lineRule="auto"/>
    </w:pPr>
    <w:rPr>
      <w:i/>
      <w:iCs/>
      <w:color w:val="7F7F7F" w:themeColor="text2"/>
      <w:sz w:val="18"/>
      <w:szCs w:val="18"/>
    </w:rPr>
  </w:style>
  <w:style w:type="character" w:styleId="PlaceholderText">
    <w:name w:val="Placeholder Text"/>
    <w:basedOn w:val="DefaultParagraphFont"/>
    <w:uiPriority w:val="99"/>
    <w:semiHidden/>
    <w:rsid w:val="00BC4EB7"/>
    <w:rPr>
      <w:color w:val="808080"/>
    </w:rPr>
  </w:style>
  <w:style w:type="paragraph" w:styleId="Revision">
    <w:name w:val="Revision"/>
    <w:hidden/>
    <w:uiPriority w:val="99"/>
    <w:semiHidden/>
    <w:rsid w:val="008451AF"/>
    <w:pPr>
      <w:spacing w:after="0" w:line="240" w:lineRule="auto"/>
    </w:pPr>
  </w:style>
  <w:style w:type="character" w:styleId="Emphasis">
    <w:name w:val="Emphasis"/>
    <w:basedOn w:val="DefaultParagraphFont"/>
    <w:uiPriority w:val="99"/>
    <w:qFormat/>
    <w:rsid w:val="00C35AB0"/>
    <w:rPr>
      <w:rFonts w:cs="Times New Roman"/>
      <w:i/>
      <w:iCs/>
    </w:rPr>
  </w:style>
  <w:style w:type="paragraph" w:customStyle="1" w:styleId="LetterBody">
    <w:name w:val="Letter Body"/>
    <w:aliases w:val="b,Memo Body,body,bd,Body,b-heading 1/heading 2,heading1body-heading2body,b-heading,b14,BD,Fax Body,Bod,Body text,body text,Report Body,bo,by,OpinBody,Proposal Body,memo body,full cell text,body1,b-heading 1,Text,Border heading,paragraph"/>
    <w:basedOn w:val="Normal"/>
    <w:link w:val="LetterBodyChar"/>
    <w:rsid w:val="006D1C2E"/>
    <w:pPr>
      <w:overflowPunct w:val="0"/>
      <w:autoSpaceDE w:val="0"/>
      <w:autoSpaceDN w:val="0"/>
      <w:adjustRightInd w:val="0"/>
      <w:spacing w:before="260" w:after="120" w:line="260" w:lineRule="atLeast"/>
      <w:ind w:left="0"/>
      <w:jc w:val="left"/>
      <w:textAlignment w:val="baseline"/>
    </w:pPr>
    <w:rPr>
      <w:rFonts w:ascii="Univers 45 Light" w:eastAsia="Times New Roman" w:hAnsi="Univers 45 Light" w:cs="Times New Roman"/>
      <w:sz w:val="18"/>
      <w:szCs w:val="20"/>
    </w:rPr>
  </w:style>
  <w:style w:type="character" w:customStyle="1" w:styleId="LetterBodyChar">
    <w:name w:val="Letter Body Char"/>
    <w:aliases w:val="b Char,Memo Body Char"/>
    <w:basedOn w:val="DefaultParagraphFont"/>
    <w:link w:val="LetterBody"/>
    <w:rsid w:val="006D1C2E"/>
    <w:rPr>
      <w:rFonts w:ascii="Univers 45 Light" w:eastAsia="Times New Roman" w:hAnsi="Univers 45 Light" w:cs="Times New Roman"/>
      <w:sz w:val="18"/>
      <w:szCs w:val="20"/>
    </w:rPr>
  </w:style>
  <w:style w:type="paragraph" w:customStyle="1" w:styleId="Paragraphnumber">
    <w:name w:val="Paragraphnumber"/>
    <w:basedOn w:val="Normal"/>
    <w:rsid w:val="003123F1"/>
    <w:pPr>
      <w:spacing w:before="0" w:line="240" w:lineRule="auto"/>
      <w:ind w:left="0" w:hanging="570"/>
      <w:jc w:val="left"/>
    </w:pPr>
    <w:rPr>
      <w:rFonts w:ascii="Times New Roman" w:eastAsia="Times New Roman" w:hAnsi="Times New Roman" w:cs="Times New Roman"/>
      <w:sz w:val="18"/>
      <w:szCs w:val="18"/>
    </w:rPr>
  </w:style>
  <w:style w:type="paragraph" w:customStyle="1" w:styleId="bullet">
    <w:name w:val="bullet"/>
    <w:basedOn w:val="Normal"/>
    <w:rsid w:val="003123F1"/>
    <w:pPr>
      <w:spacing w:before="0" w:line="240" w:lineRule="auto"/>
      <w:ind w:left="0" w:hanging="585"/>
      <w:jc w:val="left"/>
    </w:pPr>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22698">
      <w:bodyDiv w:val="1"/>
      <w:marLeft w:val="0"/>
      <w:marRight w:val="0"/>
      <w:marTop w:val="0"/>
      <w:marBottom w:val="0"/>
      <w:divBdr>
        <w:top w:val="none" w:sz="0" w:space="0" w:color="auto"/>
        <w:left w:val="none" w:sz="0" w:space="0" w:color="auto"/>
        <w:bottom w:val="none" w:sz="0" w:space="0" w:color="auto"/>
        <w:right w:val="none" w:sz="0" w:space="0" w:color="auto"/>
      </w:divBdr>
    </w:div>
    <w:div w:id="368534703">
      <w:bodyDiv w:val="1"/>
      <w:marLeft w:val="0"/>
      <w:marRight w:val="0"/>
      <w:marTop w:val="0"/>
      <w:marBottom w:val="0"/>
      <w:divBdr>
        <w:top w:val="none" w:sz="0" w:space="0" w:color="auto"/>
        <w:left w:val="none" w:sz="0" w:space="0" w:color="auto"/>
        <w:bottom w:val="none" w:sz="0" w:space="0" w:color="auto"/>
        <w:right w:val="none" w:sz="0" w:space="0" w:color="auto"/>
      </w:divBdr>
    </w:div>
    <w:div w:id="995190080">
      <w:bodyDiv w:val="1"/>
      <w:marLeft w:val="0"/>
      <w:marRight w:val="0"/>
      <w:marTop w:val="0"/>
      <w:marBottom w:val="0"/>
      <w:divBdr>
        <w:top w:val="none" w:sz="0" w:space="0" w:color="auto"/>
        <w:left w:val="none" w:sz="0" w:space="0" w:color="auto"/>
        <w:bottom w:val="none" w:sz="0" w:space="0" w:color="auto"/>
        <w:right w:val="none" w:sz="0" w:space="0" w:color="auto"/>
      </w:divBdr>
    </w:div>
    <w:div w:id="1113863776">
      <w:bodyDiv w:val="1"/>
      <w:marLeft w:val="0"/>
      <w:marRight w:val="0"/>
      <w:marTop w:val="0"/>
      <w:marBottom w:val="0"/>
      <w:divBdr>
        <w:top w:val="none" w:sz="0" w:space="0" w:color="auto"/>
        <w:left w:val="none" w:sz="0" w:space="0" w:color="auto"/>
        <w:bottom w:val="none" w:sz="0" w:space="0" w:color="auto"/>
        <w:right w:val="none" w:sz="0" w:space="0" w:color="auto"/>
      </w:divBdr>
    </w:div>
    <w:div w:id="1287001174">
      <w:bodyDiv w:val="1"/>
      <w:marLeft w:val="0"/>
      <w:marRight w:val="0"/>
      <w:marTop w:val="0"/>
      <w:marBottom w:val="0"/>
      <w:divBdr>
        <w:top w:val="none" w:sz="0" w:space="0" w:color="auto"/>
        <w:left w:val="none" w:sz="0" w:space="0" w:color="auto"/>
        <w:bottom w:val="none" w:sz="0" w:space="0" w:color="auto"/>
        <w:right w:val="none" w:sz="0" w:space="0" w:color="auto"/>
      </w:divBdr>
    </w:div>
    <w:div w:id="1431193853">
      <w:bodyDiv w:val="1"/>
      <w:marLeft w:val="0"/>
      <w:marRight w:val="0"/>
      <w:marTop w:val="0"/>
      <w:marBottom w:val="0"/>
      <w:divBdr>
        <w:top w:val="none" w:sz="0" w:space="0" w:color="auto"/>
        <w:left w:val="none" w:sz="0" w:space="0" w:color="auto"/>
        <w:bottom w:val="none" w:sz="0" w:space="0" w:color="auto"/>
        <w:right w:val="none" w:sz="0" w:space="0" w:color="auto"/>
      </w:divBdr>
    </w:div>
    <w:div w:id="1454203322">
      <w:bodyDiv w:val="1"/>
      <w:marLeft w:val="0"/>
      <w:marRight w:val="0"/>
      <w:marTop w:val="0"/>
      <w:marBottom w:val="0"/>
      <w:divBdr>
        <w:top w:val="none" w:sz="0" w:space="0" w:color="auto"/>
        <w:left w:val="none" w:sz="0" w:space="0" w:color="auto"/>
        <w:bottom w:val="none" w:sz="0" w:space="0" w:color="auto"/>
        <w:right w:val="none" w:sz="0" w:space="0" w:color="auto"/>
      </w:divBdr>
    </w:div>
    <w:div w:id="1520972211">
      <w:bodyDiv w:val="1"/>
      <w:marLeft w:val="0"/>
      <w:marRight w:val="0"/>
      <w:marTop w:val="0"/>
      <w:marBottom w:val="0"/>
      <w:divBdr>
        <w:top w:val="none" w:sz="0" w:space="0" w:color="auto"/>
        <w:left w:val="none" w:sz="0" w:space="0" w:color="auto"/>
        <w:bottom w:val="none" w:sz="0" w:space="0" w:color="auto"/>
        <w:right w:val="none" w:sz="0" w:space="0" w:color="auto"/>
      </w:divBdr>
    </w:div>
    <w:div w:id="1554535043">
      <w:bodyDiv w:val="1"/>
      <w:marLeft w:val="0"/>
      <w:marRight w:val="0"/>
      <w:marTop w:val="0"/>
      <w:marBottom w:val="0"/>
      <w:divBdr>
        <w:top w:val="none" w:sz="0" w:space="0" w:color="auto"/>
        <w:left w:val="none" w:sz="0" w:space="0" w:color="auto"/>
        <w:bottom w:val="none" w:sz="0" w:space="0" w:color="auto"/>
        <w:right w:val="none" w:sz="0" w:space="0" w:color="auto"/>
      </w:divBdr>
    </w:div>
    <w:div w:id="194001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B792F915D447B4A8C2152484A95773"/>
        <w:category>
          <w:name w:val="General"/>
          <w:gallery w:val="placeholder"/>
        </w:category>
        <w:types>
          <w:type w:val="bbPlcHdr"/>
        </w:types>
        <w:behaviors>
          <w:behavior w:val="content"/>
        </w:behaviors>
        <w:guid w:val="{91693435-A155-4C08-A5F5-98797D0BF61A}"/>
      </w:docPartPr>
      <w:docPartBody>
        <w:p w:rsidR="00E048D8" w:rsidRDefault="00FC21EA" w:rsidP="00FC21EA">
          <w:pPr>
            <w:pStyle w:val="63B792F915D447B4A8C2152484A95773"/>
          </w:pPr>
          <w:r w:rsidRPr="00E4602A">
            <w:rPr>
              <w:rFonts w:ascii="Arial" w:hAnsi="Arial" w:cs="Arial"/>
              <w:sz w:val="24"/>
            </w:rPr>
            <w:t>Choose an item.</w:t>
          </w:r>
        </w:p>
      </w:docPartBody>
    </w:docPart>
    <w:docPart>
      <w:docPartPr>
        <w:name w:val="5B5F386349EA46A5B0AEBDA972D02C17"/>
        <w:category>
          <w:name w:val="General"/>
          <w:gallery w:val="placeholder"/>
        </w:category>
        <w:types>
          <w:type w:val="bbPlcHdr"/>
        </w:types>
        <w:behaviors>
          <w:behavior w:val="content"/>
        </w:behaviors>
        <w:guid w:val="{C19F2D3E-588D-49EA-993B-0E7AD8BF35B8}"/>
      </w:docPartPr>
      <w:docPartBody>
        <w:p w:rsidR="00E048D8" w:rsidRDefault="00FC21EA" w:rsidP="00FC21EA">
          <w:pPr>
            <w:pStyle w:val="5B5F386349EA46A5B0AEBDA972D02C17"/>
          </w:pPr>
          <w:r w:rsidRPr="00E55D1C">
            <w:rPr>
              <w:rFonts w:ascii="Arial" w:hAnsi="Arial" w:cs="Arial"/>
              <w:sz w:val="24"/>
            </w:rPr>
            <w:t>Choose an item.</w:t>
          </w:r>
        </w:p>
      </w:docPartBody>
    </w:docPart>
    <w:docPart>
      <w:docPartPr>
        <w:name w:val="9BD96CD4AFEE49FF847C900722EB10FE"/>
        <w:category>
          <w:name w:val="General"/>
          <w:gallery w:val="placeholder"/>
        </w:category>
        <w:types>
          <w:type w:val="bbPlcHdr"/>
        </w:types>
        <w:behaviors>
          <w:behavior w:val="content"/>
        </w:behaviors>
        <w:guid w:val="{7AD4C520-A958-4564-B0C7-5C3BB5501FF6}"/>
      </w:docPartPr>
      <w:docPartBody>
        <w:p w:rsidR="00E048D8" w:rsidRDefault="00FC21EA" w:rsidP="00FC21EA">
          <w:pPr>
            <w:pStyle w:val="9BD96CD4AFEE49FF847C900722EB10FE"/>
          </w:pPr>
          <w:r w:rsidRPr="00E55D1C">
            <w:rPr>
              <w:rFonts w:ascii="Arial" w:hAnsi="Arial" w:cs="Arial"/>
              <w:sz w:val="24"/>
            </w:rPr>
            <w:t>Choose an item.</w:t>
          </w:r>
        </w:p>
      </w:docPartBody>
    </w:docPart>
    <w:docPart>
      <w:docPartPr>
        <w:name w:val="A76CC134A3D443F0B2D03BCF2A4E279D"/>
        <w:category>
          <w:name w:val="General"/>
          <w:gallery w:val="placeholder"/>
        </w:category>
        <w:types>
          <w:type w:val="bbPlcHdr"/>
        </w:types>
        <w:behaviors>
          <w:behavior w:val="content"/>
        </w:behaviors>
        <w:guid w:val="{A938112A-583C-4218-BA26-56BAA833FC1D}"/>
      </w:docPartPr>
      <w:docPartBody>
        <w:p w:rsidR="00E048D8" w:rsidRDefault="00FC21EA" w:rsidP="00FC21EA">
          <w:pPr>
            <w:pStyle w:val="A76CC134A3D443F0B2D03BCF2A4E279D"/>
          </w:pPr>
          <w:r w:rsidRPr="00E55D1C">
            <w:rPr>
              <w:rFonts w:ascii="Arial" w:hAnsi="Arial" w:cs="Arial"/>
              <w:sz w:val="24"/>
            </w:rPr>
            <w:t>Choose an item.</w:t>
          </w:r>
        </w:p>
      </w:docPartBody>
    </w:docPart>
    <w:docPart>
      <w:docPartPr>
        <w:name w:val="2EC938C694DF49F9976970CA4AC223FE"/>
        <w:category>
          <w:name w:val="General"/>
          <w:gallery w:val="placeholder"/>
        </w:category>
        <w:types>
          <w:type w:val="bbPlcHdr"/>
        </w:types>
        <w:behaviors>
          <w:behavior w:val="content"/>
        </w:behaviors>
        <w:guid w:val="{86BB352A-7E62-4EA8-831E-33A5AE28DB18}"/>
      </w:docPartPr>
      <w:docPartBody>
        <w:p w:rsidR="002E6EF8" w:rsidRDefault="00FC21EA" w:rsidP="00FC21EA">
          <w:pPr>
            <w:pStyle w:val="2EC938C694DF49F9976970CA4AC223FE"/>
          </w:pPr>
          <w:r w:rsidRPr="0013048A">
            <w:rPr>
              <w:sz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Univers 45 Light">
    <w:altName w:val="Calibri"/>
    <w:charset w:val="00"/>
    <w:family w:val="auto"/>
    <w:pitch w:val="variable"/>
    <w:sig w:usb0="8000002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0A23"/>
    <w:rsid w:val="0003212B"/>
    <w:rsid w:val="000B1D0C"/>
    <w:rsid w:val="000D64EB"/>
    <w:rsid w:val="00121FBA"/>
    <w:rsid w:val="001E7990"/>
    <w:rsid w:val="001F73F0"/>
    <w:rsid w:val="002665A1"/>
    <w:rsid w:val="002B1AB3"/>
    <w:rsid w:val="002B3699"/>
    <w:rsid w:val="002B5532"/>
    <w:rsid w:val="002D4A2E"/>
    <w:rsid w:val="002E03A8"/>
    <w:rsid w:val="002E6EF8"/>
    <w:rsid w:val="003033EA"/>
    <w:rsid w:val="003430D9"/>
    <w:rsid w:val="00363F40"/>
    <w:rsid w:val="003B211D"/>
    <w:rsid w:val="003F3456"/>
    <w:rsid w:val="00441B57"/>
    <w:rsid w:val="004C0A23"/>
    <w:rsid w:val="004F68AB"/>
    <w:rsid w:val="0054234C"/>
    <w:rsid w:val="005713B2"/>
    <w:rsid w:val="005C1FB7"/>
    <w:rsid w:val="00620E6E"/>
    <w:rsid w:val="00710EC5"/>
    <w:rsid w:val="00722748"/>
    <w:rsid w:val="00790E90"/>
    <w:rsid w:val="007B5D80"/>
    <w:rsid w:val="008735D0"/>
    <w:rsid w:val="008E168B"/>
    <w:rsid w:val="00900CDE"/>
    <w:rsid w:val="00937397"/>
    <w:rsid w:val="00983DA1"/>
    <w:rsid w:val="009A022E"/>
    <w:rsid w:val="009C5301"/>
    <w:rsid w:val="009D7190"/>
    <w:rsid w:val="00A302F0"/>
    <w:rsid w:val="00A7299E"/>
    <w:rsid w:val="00B51EFA"/>
    <w:rsid w:val="00B60EA4"/>
    <w:rsid w:val="00BA3635"/>
    <w:rsid w:val="00BF7835"/>
    <w:rsid w:val="00C86CD5"/>
    <w:rsid w:val="00C94B04"/>
    <w:rsid w:val="00CB07A8"/>
    <w:rsid w:val="00D26FF1"/>
    <w:rsid w:val="00D577FE"/>
    <w:rsid w:val="00D57F17"/>
    <w:rsid w:val="00E01ACD"/>
    <w:rsid w:val="00E048D8"/>
    <w:rsid w:val="00E96C10"/>
    <w:rsid w:val="00FC21EA"/>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946A88F"/>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C21EA"/>
    <w:rPr>
      <w:color w:val="808080"/>
    </w:rPr>
  </w:style>
  <w:style w:type="paragraph" w:customStyle="1" w:styleId="63B792F915D447B4A8C2152484A95773">
    <w:name w:val="63B792F915D447B4A8C2152484A95773"/>
    <w:rsid w:val="00FC21EA"/>
    <w:pPr>
      <w:spacing w:before="200" w:after="0" w:line="276" w:lineRule="auto"/>
      <w:ind w:left="720"/>
      <w:jc w:val="both"/>
    </w:pPr>
    <w:rPr>
      <w:rFonts w:eastAsiaTheme="minorHAnsi"/>
      <w:lang w:val="en-US" w:eastAsia="en-US"/>
    </w:rPr>
  </w:style>
  <w:style w:type="paragraph" w:customStyle="1" w:styleId="5B5F386349EA46A5B0AEBDA972D02C17">
    <w:name w:val="5B5F386349EA46A5B0AEBDA972D02C17"/>
    <w:rsid w:val="00FC21EA"/>
    <w:pPr>
      <w:spacing w:before="200" w:after="0" w:line="276" w:lineRule="auto"/>
      <w:ind w:left="720"/>
      <w:jc w:val="both"/>
    </w:pPr>
    <w:rPr>
      <w:rFonts w:eastAsiaTheme="minorHAnsi"/>
      <w:lang w:val="en-US" w:eastAsia="en-US"/>
    </w:rPr>
  </w:style>
  <w:style w:type="paragraph" w:customStyle="1" w:styleId="9BD96CD4AFEE49FF847C900722EB10FE">
    <w:name w:val="9BD96CD4AFEE49FF847C900722EB10FE"/>
    <w:rsid w:val="00FC21EA"/>
    <w:pPr>
      <w:spacing w:before="200" w:after="0" w:line="276" w:lineRule="auto"/>
      <w:ind w:left="720"/>
      <w:jc w:val="both"/>
    </w:pPr>
    <w:rPr>
      <w:rFonts w:eastAsiaTheme="minorHAnsi"/>
      <w:lang w:val="en-US" w:eastAsia="en-US"/>
    </w:rPr>
  </w:style>
  <w:style w:type="paragraph" w:customStyle="1" w:styleId="2EC938C694DF49F9976970CA4AC223FE">
    <w:name w:val="2EC938C694DF49F9976970CA4AC223FE"/>
    <w:rsid w:val="00FC21EA"/>
    <w:pPr>
      <w:spacing w:before="200" w:after="0" w:line="276" w:lineRule="auto"/>
      <w:ind w:left="720"/>
      <w:jc w:val="both"/>
    </w:pPr>
    <w:rPr>
      <w:rFonts w:eastAsiaTheme="minorHAnsi"/>
      <w:lang w:val="en-US" w:eastAsia="en-US"/>
    </w:rPr>
  </w:style>
  <w:style w:type="paragraph" w:customStyle="1" w:styleId="A76CC134A3D443F0B2D03BCF2A4E279D">
    <w:name w:val="A76CC134A3D443F0B2D03BCF2A4E279D"/>
    <w:rsid w:val="00FC21EA"/>
    <w:pPr>
      <w:spacing w:before="200" w:after="0" w:line="276" w:lineRule="auto"/>
      <w:ind w:left="720"/>
      <w:jc w:val="both"/>
    </w:pPr>
    <w:rPr>
      <w:rFonts w:eastAsiaTheme="minorHAnsi"/>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_Optimus SBR - New">
      <a:dk1>
        <a:srgbClr val="3A444E"/>
      </a:dk1>
      <a:lt1>
        <a:srgbClr val="FFFFFF"/>
      </a:lt1>
      <a:dk2>
        <a:srgbClr val="7F7F7F"/>
      </a:dk2>
      <a:lt2>
        <a:srgbClr val="B7BBC7"/>
      </a:lt2>
      <a:accent1>
        <a:srgbClr val="142D53"/>
      </a:accent1>
      <a:accent2>
        <a:srgbClr val="F47D31"/>
      </a:accent2>
      <a:accent3>
        <a:srgbClr val="9BA3AF"/>
      </a:accent3>
      <a:accent4>
        <a:srgbClr val="51627D"/>
      </a:accent4>
      <a:accent5>
        <a:srgbClr val="7599AF"/>
      </a:accent5>
      <a:accent6>
        <a:srgbClr val="EDEEEE"/>
      </a:accent6>
      <a:hlink>
        <a:srgbClr val="F47D31"/>
      </a:hlink>
      <a:folHlink>
        <a:srgbClr val="4A587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7221728F71454AB6F8A66E7D975131" ma:contentTypeVersion="22" ma:contentTypeDescription="Create a new document." ma:contentTypeScope="" ma:versionID="8676a98d9095dfd6aa31f163332ddc48">
  <xsd:schema xmlns:xsd="http://www.w3.org/2001/XMLSchema" xmlns:xs="http://www.w3.org/2001/XMLSchema" xmlns:p="http://schemas.microsoft.com/office/2006/metadata/properties" xmlns:ns1="3326b704-89af-488b-b685-0b8803a85a03" xmlns:ns3="6ca1f4bc-8782-45fc-ad5e-7babcf5d9c2a" targetNamespace="http://schemas.microsoft.com/office/2006/metadata/properties" ma:root="true" ma:fieldsID="1352ffca1c6112850de75d422ed3a7bd" ns1:_="" ns3:_="">
    <xsd:import namespace="3326b704-89af-488b-b685-0b8803a85a03"/>
    <xsd:import namespace="6ca1f4bc-8782-45fc-ad5e-7babcf5d9c2a"/>
    <xsd:element name="properties">
      <xsd:complexType>
        <xsd:sequence>
          <xsd:element name="documentManagement">
            <xsd:complexType>
              <xsd:all>
                <xsd:element ref="ns1:Policy_x0020_Type"/>
                <xsd:element ref="ns1:Category"/>
                <xsd:element ref="ns1:Policy_x0020_Number" minOccurs="0"/>
                <xsd:element ref="ns1:Department"/>
                <xsd:element ref="ns1:Policy_x0020_Author"/>
                <xsd:element ref="ns1:Effective_x0020_Date"/>
                <xsd:element ref="ns1:Review_x0020_Date"/>
                <xsd:element ref="ns1:Approved_x0020_By"/>
                <xsd:element ref="ns1:Required_x0020_on_x0020_City_x0027_s_x0020_Website_x003f_" minOccurs="0"/>
                <xsd:element ref="ns1:MediaServiceMetadata" minOccurs="0"/>
                <xsd:element ref="ns1:MediaServiceFastMetadata" minOccurs="0"/>
                <xsd:element ref="ns1:MediaServiceObjectDetectorVersions" minOccurs="0"/>
                <xsd:element ref="ns1:MediaServiceSearchProperties" minOccurs="0"/>
                <xsd:element ref="ns3:SharedWithUsers" minOccurs="0"/>
                <xsd:element ref="ns3:SharedWithDetails" minOccurs="0"/>
                <xsd:element ref="ns1:PolicyFramework" minOccurs="0"/>
                <xsd:element ref="ns1: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26b704-89af-488b-b685-0b8803a85a03" elementFormDefault="qualified">
    <xsd:import namespace="http://schemas.microsoft.com/office/2006/documentManagement/types"/>
    <xsd:import namespace="http://schemas.microsoft.com/office/infopath/2007/PartnerControls"/>
    <xsd:element name="Policy_x0020_Type" ma:index="0" ma:displayName="Category" ma:default="Administration" ma:description="What's the category of this type of policy?" ma:format="RadioButtons" ma:internalName="Policy_x0020_Type" ma:readOnly="false">
      <xsd:simpleType>
        <xsd:restriction base="dms:Choice">
          <xsd:enumeration value="Administration"/>
          <xsd:enumeration value="Financial"/>
          <xsd:enumeration value="Governance"/>
          <xsd:enumeration value="Human Resources"/>
          <xsd:enumeration value="Municipal Services"/>
        </xsd:restriction>
      </xsd:simpleType>
    </xsd:element>
    <xsd:element name="Category" ma:index="1" ma:displayName="Policy Type" ma:default="Corporate Wide" ma:format="RadioButtons" ma:internalName="Category" ma:readOnly="false">
      <xsd:simpleType>
        <xsd:restriction base="dms:Choice">
          <xsd:enumeration value="Corporate Wide"/>
          <xsd:enumeration value="By-law"/>
          <xsd:enumeration value="Administrative"/>
          <xsd:enumeration value="Procedure"/>
          <xsd:enumeration value="Departmental"/>
          <xsd:enumeration value="Guideline"/>
        </xsd:restriction>
      </xsd:simpleType>
    </xsd:element>
    <xsd:element name="Policy_x0020_Number" ma:index="2" nillable="true" ma:displayName="Policy Number" ma:internalName="Policy_x0020_Number" ma:readOnly="false">
      <xsd:simpleType>
        <xsd:restriction base="dms:Text">
          <xsd:maxLength value="255"/>
        </xsd:restriction>
      </xsd:simpleType>
    </xsd:element>
    <xsd:element name="Department" ma:index="5" ma:displayName="Department" ma:default="Corporate Services" ma:format="RadioButtons" ma:internalName="Department">
      <xsd:simpleType>
        <xsd:restriction base="dms:Choice">
          <xsd:enumeration value="Community Development"/>
          <xsd:enumeration value="Corporate Enterprise"/>
          <xsd:enumeration value="Corporate Services"/>
          <xsd:enumeration value="Office of City Manager"/>
          <xsd:enumeration value="Office of the Mayor and Council"/>
          <xsd:enumeration value="Infrastructure Services"/>
        </xsd:restriction>
      </xsd:simpleType>
    </xsd:element>
    <xsd:element name="Policy_x0020_Author" ma:index="6" ma:displayName="Policy Author" ma:default="Administration" ma:format="RadioButtons" ma:internalName="Policy_x0020_Author">
      <xsd:simpleType>
        <xsd:restriction base="dms:Choice">
          <xsd:enumeration value="Administration"/>
          <xsd:enumeration value="Asset Management and Project Management"/>
          <xsd:enumeration value="Building"/>
          <xsd:enumeration value="City Clerk"/>
          <xsd:enumeration value="Corporate Communications"/>
          <xsd:enumeration value="Corporate Strategy"/>
          <xsd:enumeration value="Economic Development"/>
          <xsd:enumeration value="Engineering"/>
          <xsd:enumeration value="Risk and Compliance"/>
          <xsd:enumeration value="Financial Services"/>
          <xsd:enumeration value="Fire Services"/>
          <xsd:enumeration value="Human Resources"/>
          <xsd:enumeration value="Internal Audit"/>
          <xsd:enumeration value="Legal Services"/>
          <xsd:enumeration value="Recreation and Culture"/>
          <xsd:enumeration value="Planning Services"/>
          <xsd:enumeration value="Operations"/>
          <xsd:enumeration value="Realty Services"/>
          <xsd:enumeration value="Service Cambridge"/>
          <xsd:enumeration value="Technology Services"/>
          <xsd:enumeration value="Transportation Services"/>
          <xsd:enumeration value="Facilities"/>
          <xsd:enumeration value="Environmental Services"/>
          <xsd:enumeration value="Project Management"/>
        </xsd:restriction>
      </xsd:simpleType>
    </xsd:element>
    <xsd:element name="Effective_x0020_Date" ma:index="7" ma:displayName="Effective Date" ma:description="Day that the policy became in effect." ma:format="DateOnly" ma:internalName="Effective_x0020_Date" ma:readOnly="false">
      <xsd:simpleType>
        <xsd:restriction base="dms:DateTime"/>
      </xsd:simpleType>
    </xsd:element>
    <xsd:element name="Review_x0020_Date" ma:index="10" ma:displayName="Review Date" ma:format="DateOnly" ma:internalName="Review_x0020_Date" ma:readOnly="false">
      <xsd:simpleType>
        <xsd:restriction base="dms:DateTime"/>
      </xsd:simpleType>
    </xsd:element>
    <xsd:element name="Approved_x0020_By" ma:index="11" ma:displayName="Approved By" ma:format="Dropdown" ma:internalName="Approved_x0020_By" ma:readOnly="false">
      <xsd:simpleType>
        <xsd:restriction base="dms:Choice">
          <xsd:enumeration value="Council"/>
          <xsd:enumeration value="City Manager and CLT"/>
          <xsd:enumeration value="Department Head"/>
        </xsd:restriction>
      </xsd:simpleType>
    </xsd:element>
    <xsd:element name="Required_x0020_on_x0020_City_x0027_s_x0020_Website_x003f_" ma:index="13" nillable="true" ma:displayName="Required on City's Website?" ma:default="0" ma:description="Does this policy need to go on the City's Website on the Policy Library?" ma:internalName="Required_x0020_on_x0020_City_x0027_s_x0020_Website_x003f_" ma:readOnly="false">
      <xsd:simpleType>
        <xsd:restriction base="dms:Boolea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PolicyFramework" ma:index="24" nillable="true" ma:displayName="Policy Framework" ma:description="Where does this document fit into the policy framework?" ma:format="Dropdown" ma:internalName="PolicyFramework">
      <xsd:simpleType>
        <xsd:restriction base="dms:Choice">
          <xsd:enumeration value="City Policy"/>
          <xsd:enumeration value="Administrative Policy"/>
          <xsd:enumeration value="Departmental Policy"/>
          <xsd:enumeration value="Procedure"/>
          <xsd:enumeration value="Guideline"/>
        </xsd:restriction>
      </xsd:simpleType>
    </xsd:element>
    <xsd:element name="Notes" ma:index="25"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ca1f4bc-8782-45fc-ad5e-7babcf5d9c2a"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view_x0020_Date xmlns="3326b704-89af-488b-b685-0b8803a85a03"/>
    <Policy_x0020_Author xmlns="3326b704-89af-488b-b685-0b8803a85a03">Financial Services</Policy_x0020_Author>
    <Policy_x0020_Type xmlns="3326b704-89af-488b-b685-0b8803a85a03">Financial</Policy_x0020_Type>
    <Department xmlns="3326b704-89af-488b-b685-0b8803a85a03">Corporate Services</Department>
    <Required_x0020_on_x0020_City_x0027_s_x0020_Website_x003f_ xmlns="3326b704-89af-488b-b685-0b8803a85a03">false</Required_x0020_on_x0020_City_x0027_s_x0020_Website_x003f_>
    <PolicyFramework xmlns="3326b704-89af-488b-b685-0b8803a85a03">City Policy</PolicyFramework>
    <Category xmlns="3326b704-89af-488b-b685-0b8803a85a03">Corporate Wide</Category>
    <Approved_x0020_By xmlns="3326b704-89af-488b-b685-0b8803a85a03">Council</Approved_x0020_By>
    <Policy_x0020_Number xmlns="3326b704-89af-488b-b685-0b8803a85a03">A09 FIN 003</Policy_x0020_Number>
    <Effective_x0020_Date xmlns="3326b704-89af-488b-b685-0b8803a85a03">2024-10-23T04:00:00+00:00</Effective_x0020_Date>
    <Notes xmlns="3326b704-89af-488b-b685-0b8803a85a03">To be reviewed in conjunction with the City's Development Charges By-law</Notes>
    <SharedWithUsers xmlns="6ca1f4bc-8782-45fc-ad5e-7babcf5d9c2a">
      <UserInfo>
        <DisplayName>Jason Huehn</DisplayName>
        <AccountId>1216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b:Source>
    <b:Tag>SAC11</b:Tag>
    <b:SourceType>Report</b:SourceType>
    <b:Guid>{CE6A5C67-A902-4799-8014-BBEC0E488AB1}</b:Guid>
    <b:Title>City Governance</b:Title>
    <b:Year>2011</b:Year>
    <b:Publisher>State of the Cities Report</b:Publisher>
    <b:Author>
      <b:Author>
        <b:Corporate>SA Cities Network</b:Corporate>
      </b:Author>
    </b:Author>
    <b:RefOrder>1</b:RefOrder>
  </b:Source>
</b:Sources>
</file>

<file path=customXml/itemProps1.xml><?xml version="1.0" encoding="utf-8"?>
<ds:datastoreItem xmlns:ds="http://schemas.openxmlformats.org/officeDocument/2006/customXml" ds:itemID="{CB4AB05C-6A32-4C89-B23A-1023E3D2F860}">
  <ds:schemaRefs>
    <ds:schemaRef ds:uri="http://schemas.microsoft.com/sharepoint/v3/contenttype/forms"/>
  </ds:schemaRefs>
</ds:datastoreItem>
</file>

<file path=customXml/itemProps2.xml><?xml version="1.0" encoding="utf-8"?>
<ds:datastoreItem xmlns:ds="http://schemas.openxmlformats.org/officeDocument/2006/customXml" ds:itemID="{64B90EB4-893F-4524-B98C-35AE424727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26b704-89af-488b-b685-0b8803a85a03"/>
    <ds:schemaRef ds:uri="6ca1f4bc-8782-45fc-ad5e-7babcf5d9c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8BDC438-6D84-4878-9205-7FE14E4A6D1D}">
  <ds:schemaRefs>
    <ds:schemaRef ds:uri="http://schemas.microsoft.com/office/2006/metadata/properties"/>
    <ds:schemaRef ds:uri="http://schemas.microsoft.com/office/infopath/2007/PartnerControls"/>
    <ds:schemaRef ds:uri="3326b704-89af-488b-b685-0b8803a85a03"/>
    <ds:schemaRef ds:uri="6ca1f4bc-8782-45fc-ad5e-7babcf5d9c2a"/>
  </ds:schemaRefs>
</ds:datastoreItem>
</file>

<file path=customXml/itemProps4.xml><?xml version="1.0" encoding="utf-8"?>
<ds:datastoreItem xmlns:ds="http://schemas.openxmlformats.org/officeDocument/2006/customXml" ds:itemID="{484C0C9D-55FF-43CE-841A-4125CF72F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2239</Words>
  <Characters>11110</Characters>
  <Application>Microsoft Office Word</Application>
  <DocSecurity>4</DocSecurity>
  <Lines>205</Lines>
  <Paragraphs>101</Paragraphs>
  <ScaleCrop>false</ScaleCrop>
  <HeadingPairs>
    <vt:vector size="2" baseType="variant">
      <vt:variant>
        <vt:lpstr>Title</vt:lpstr>
      </vt:variant>
      <vt:variant>
        <vt:i4>1</vt:i4>
      </vt:variant>
    </vt:vector>
  </HeadingPairs>
  <TitlesOfParts>
    <vt:vector size="1" baseType="lpstr">
      <vt:lpstr/>
    </vt:vector>
  </TitlesOfParts>
  <Company>City of Cambridge</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Mariam Ali</dc:creator>
  <cp:keywords/>
  <cp:lastModifiedBy>Mira Olsen</cp:lastModifiedBy>
  <cp:revision>2</cp:revision>
  <cp:lastPrinted>2019-04-08T16:19:00Z</cp:lastPrinted>
  <dcterms:created xsi:type="dcterms:W3CDTF">2026-03-09T14:08:00Z</dcterms:created>
  <dcterms:modified xsi:type="dcterms:W3CDTF">2026-03-09T14:08:00Z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0x010100E47221728F71454AB6F8A66E7D975131</vt:lpwstr>
  </property>
  <property fmtid="{D5CDD505-2E9C-101B-9397-08002B2CF9AE}" pid="3" name="SharedWithUsers">
    <vt:lpwstr>1216;#Jason Huehn</vt:lpwstr>
  </property>
  <property fmtid="{D5CDD505-2E9C-101B-9397-08002B2CF9AE}" pid="4" name="AuthorIds_UIVersion_18432">
    <vt:lpwstr>2899</vt:lpwstr>
  </property>
  <property fmtid="{D5CDD505-2E9C-101B-9397-08002B2CF9AE}" pid="5" name="_dlc_DocIdItemGuid">
    <vt:lpwstr>60a1d64d-f4ef-4add-8e78-ccb6f55da34e</vt:lpwstr>
  </property>
  <property fmtid="{D5CDD505-2E9C-101B-9397-08002B2CF9AE}" pid="6" name="MediaServiceImageTags">
    <vt:lpwstr/>
  </property>
</Properties>
</file>