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Override PartName="/word/footer29.xml" ContentType="application/vnd.openxmlformats-officedocument.wordprocessingml.footer+xml"/>
  <Override PartName="/word/header15.xml" ContentType="application/vnd.openxmlformats-officedocument.wordprocessingml.header+xml"/>
  <Override PartName="/word/footer30.xml" ContentType="application/vnd.openxmlformats-officedocument.wordprocessingml.footer+xml"/>
  <Override PartName="/word/header16.xml" ContentType="application/vnd.openxmlformats-officedocument.wordprocessingml.header+xml"/>
  <Override PartName="/word/footer31.xml" ContentType="application/vnd.openxmlformats-officedocument.wordprocessingml.footer+xml"/>
  <Override PartName="/word/header1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8.xml" ContentType="application/vnd.openxmlformats-officedocument.wordprocessingml.header+xml"/>
  <Override PartName="/word/footer37.xml" ContentType="application/vnd.openxmlformats-officedocument.wordprocessingml.footer+xml"/>
  <Override PartName="/word/header1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15322B" w:rsidR="00091A11" w:rsidP="00091A11" w:rsidRDefault="0023583C" w14:paraId="10A4ADF4" w14:textId="77777777">
      <w:pPr>
        <w:rPr>
          <w:lang w:val="en-CA"/>
        </w:rPr>
        <w:sectPr w:rsidRPr="0015322B" w:rsidR="00091A11" w:rsidSect="00B1229F">
          <w:headerReference w:type="default" r:id="rId11"/>
          <w:footerReference w:type="default" r:id="rId12"/>
          <w:headerReference w:type="first" r:id="rId13"/>
          <w:footnotePr>
            <w:numRestart w:val="eachPage"/>
          </w:footnotePr>
          <w:pgSz w:w="12240" w:h="15840" w:orient="portrait" w:code="1"/>
          <w:pgMar w:top="0" w:right="0" w:bottom="0" w:left="0" w:header="0" w:footer="0" w:gutter="0"/>
          <w:cols w:space="708"/>
          <w:docGrid w:linePitch="360"/>
        </w:sectPr>
      </w:pPr>
      <w:r w:rsidRPr="0015322B">
        <w:rPr>
          <w:noProof/>
          <w:color w:val="FF0000"/>
          <w:lang w:val="en-CA"/>
        </w:rPr>
        <mc:AlternateContent>
          <mc:Choice Requires="wps">
            <w:drawing>
              <wp:inline distT="0" distB="0" distL="0" distR="0" wp14:anchorId="1C1BF57B" wp14:editId="33EF283B">
                <wp:extent cx="7772400" cy="5581650"/>
                <wp:effectExtent l="0" t="0" r="19050" b="19050"/>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581650"/>
                        </a:xfrm>
                        <a:prstGeom prst="rect">
                          <a:avLst/>
                        </a:prstGeom>
                        <a:solidFill>
                          <a:schemeClr val="tx1"/>
                        </a:solidFill>
                        <a:ln w="9525">
                          <a:solidFill>
                            <a:schemeClr val="tx1"/>
                          </a:solidFill>
                          <a:miter lim="800000"/>
                          <a:headEnd/>
                          <a:tailEnd/>
                        </a:ln>
                      </wps:spPr>
                      <wps:txbx>
                        <w:txbxContent>
                          <w:p w:rsidRPr="00567764" w:rsidR="002B5311" w:rsidP="00567764" w:rsidRDefault="002B5311" w14:paraId="1FEB4402" w14:textId="77777777">
                            <w:pPr>
                              <w:pStyle w:val="BodyText125"/>
                              <w:spacing w:before="600"/>
                              <w:ind w:right="1140"/>
                              <w:jc w:val="right"/>
                              <w:rPr>
                                <w:color w:val="FFFFFF" w:themeColor="background1"/>
                              </w:rPr>
                            </w:pPr>
                            <w:r w:rsidRPr="00567764">
                              <w:rPr>
                                <w:noProof/>
                                <w:color w:val="FFFFFF" w:themeColor="background1"/>
                              </w:rPr>
                              <w:drawing>
                                <wp:inline distT="0" distB="0" distL="0" distR="0" wp14:anchorId="7E3D2B1C" wp14:editId="0BABBE7F">
                                  <wp:extent cx="2012892" cy="2011680"/>
                                  <wp:effectExtent l="0" t="0" r="6985" b="7620"/>
                                  <wp:docPr id="685" name="Picture 685" descr="Wats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son_Logo_Lockup_CMYK.jpg"/>
                                          <pic:cNvPicPr/>
                                        </pic:nvPicPr>
                                        <pic:blipFill>
                                          <a:blip r:embed="rId14"/>
                                          <a:stretch>
                                            <a:fillRect/>
                                          </a:stretch>
                                        </pic:blipFill>
                                        <pic:spPr>
                                          <a:xfrm>
                                            <a:off x="0" y="0"/>
                                            <a:ext cx="2012892" cy="2011680"/>
                                          </a:xfrm>
                                          <a:prstGeom prst="rect">
                                            <a:avLst/>
                                          </a:prstGeom>
                                        </pic:spPr>
                                      </pic:pic>
                                    </a:graphicData>
                                  </a:graphic>
                                </wp:inline>
                              </w:drawing>
                            </w:r>
                          </w:p>
                          <w:p w:rsidRPr="00567764" w:rsidR="002B5311" w:rsidP="00D74452" w:rsidRDefault="00652FE4" w14:paraId="1F9CBC4C" w14:textId="524F66EF">
                            <w:pPr>
                              <w:pStyle w:val="BodyText125"/>
                              <w:spacing w:before="960" w:after="0"/>
                              <w:ind w:left="1080" w:right="1483"/>
                              <w:rPr>
                                <w:b/>
                                <w:color w:val="FFFFFF" w:themeColor="background1"/>
                                <w:sz w:val="48"/>
                                <w:szCs w:val="48"/>
                              </w:rPr>
                            </w:pPr>
                            <w:r>
                              <w:rPr>
                                <w:b/>
                                <w:color w:val="FFFFFF" w:themeColor="background1"/>
                                <w:sz w:val="48"/>
                                <w:szCs w:val="48"/>
                              </w:rPr>
                              <w:t>Development Charges Update Study</w:t>
                            </w:r>
                          </w:p>
                          <w:p w:rsidRPr="00567764" w:rsidR="002B5311" w:rsidP="00567764" w:rsidRDefault="006B24E0" w14:paraId="5AF07298" w14:textId="310ACCE4">
                            <w:pPr>
                              <w:pStyle w:val="BodyText125"/>
                              <w:spacing w:before="80" w:after="0" w:line="288" w:lineRule="auto"/>
                              <w:ind w:left="1080" w:right="1486"/>
                              <w:rPr>
                                <w:color w:val="FFFFFF" w:themeColor="background1"/>
                                <w:sz w:val="40"/>
                                <w:szCs w:val="40"/>
                              </w:rPr>
                            </w:pPr>
                            <w:r>
                              <w:rPr>
                                <w:color w:val="FFFFFF" w:themeColor="background1"/>
                                <w:sz w:val="40"/>
                                <w:szCs w:val="40"/>
                              </w:rPr>
                              <w:t>City of Cambridge</w:t>
                            </w:r>
                          </w:p>
                          <w:p w:rsidRPr="00567764" w:rsidR="002B5311" w:rsidP="006F0D2B" w:rsidRDefault="002B5311" w14:paraId="556919E5" w14:textId="77777777">
                            <w:pPr>
                              <w:pStyle w:val="BodyText125"/>
                              <w:ind w:left="1080" w:right="1486"/>
                              <w:rPr>
                                <w:color w:val="FFFFFF" w:themeColor="background1"/>
                                <w:sz w:val="40"/>
                                <w:szCs w:val="40"/>
                              </w:rPr>
                            </w:pPr>
                            <w:r w:rsidRPr="00567764">
                              <w:rPr>
                                <w:color w:val="FFFFFF" w:themeColor="background1"/>
                                <w:sz w:val="40"/>
                                <w:szCs w:val="40"/>
                              </w:rPr>
                              <w:t>________________________</w:t>
                            </w:r>
                          </w:p>
                          <w:p w:rsidRPr="00567764" w:rsidR="002B5311" w:rsidP="006F0D2B" w:rsidRDefault="002B5311" w14:paraId="3C133684" w14:textId="07397F10">
                            <w:pPr>
                              <w:pStyle w:val="BodyText125"/>
                              <w:spacing w:after="0" w:line="240" w:lineRule="auto"/>
                              <w:ind w:left="1080" w:right="1483"/>
                              <w:rPr>
                                <w:color w:val="FFFFFF" w:themeColor="background1"/>
                                <w:sz w:val="32"/>
                                <w:szCs w:val="32"/>
                              </w:rPr>
                            </w:pPr>
                          </w:p>
                        </w:txbxContent>
                      </wps:txbx>
                      <wps:bodyPr rot="0" vert="horz" wrap="square" lIns="91440" tIns="45720" rIns="91440" bIns="45720" anchor="t" anchorCtr="0">
                        <a:noAutofit/>
                      </wps:bodyPr>
                    </wps:wsp>
                  </a:graphicData>
                </a:graphic>
              </wp:inline>
            </w:drawing>
          </mc:Choice>
          <mc:Fallback>
            <w:pict w14:anchorId="40669B2F">
              <v:shapetype id="_x0000_t202" coordsize="21600,21600" o:spt="202" path="m,l,21600r21600,l21600,xe" w14:anchorId="1C1BF57B">
                <v:stroke joinstyle="miter"/>
                <v:path gradientshapeok="t" o:connecttype="rect"/>
              </v:shapetype>
              <v:shape id="Text Box 2" style="width:612pt;height:439.5pt;visibility:visible;mso-wrap-style:square;mso-left-percent:-10001;mso-top-percent:-10001;mso-position-horizontal:absolute;mso-position-horizontal-relative:char;mso-position-vertical:absolute;mso-position-vertical-relative:line;mso-left-percent:-10001;mso-top-percent:-10001;v-text-anchor:top" alt="&quot;&quot;" o:spid="_x0000_s1026" fillcolor="#425364 [3213]" strokecolor="#425364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">
                <v:textbox>
                  <w:txbxContent>
                    <w:p w:rsidRPr="00567764" w:rsidR="002B5311" w:rsidP="00567764" w:rsidRDefault="002B5311" w14:paraId="672A6659" w14:textId="77777777">
                      <w:pPr>
                        <w:pStyle w:val="BodyText125"/>
                        <w:spacing w:before="600"/>
                        <w:ind w:right="1140"/>
                        <w:jc w:val="right"/>
                        <w:rPr>
                          <w:color w:val="FFFFFF" w:themeColor="background1"/>
                        </w:rPr>
                      </w:pPr>
                      <w:r w:rsidRPr="00567764">
                        <w:rPr>
                          <w:noProof/>
                          <w:color w:val="FFFFFF" w:themeColor="background1"/>
                        </w:rPr>
                        <w:drawing>
                          <wp:inline distT="0" distB="0" distL="0" distR="0" wp14:anchorId="787EAA93" wp14:editId="0BABBE7F">
                            <wp:extent cx="2012892" cy="2011680"/>
                            <wp:effectExtent l="0" t="0" r="6985" b="7620"/>
                            <wp:docPr id="457793321" name="Picture 685" descr="Wats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son_Logo_Lockup_CMYK.jpg"/>
                                    <pic:cNvPicPr/>
                                  </pic:nvPicPr>
                                  <pic:blipFill>
                                    <a:blip r:embed="rId14"/>
                                    <a:stretch>
                                      <a:fillRect/>
                                    </a:stretch>
                                  </pic:blipFill>
                                  <pic:spPr>
                                    <a:xfrm>
                                      <a:off x="0" y="0"/>
                                      <a:ext cx="2012892" cy="2011680"/>
                                    </a:xfrm>
                                    <a:prstGeom prst="rect">
                                      <a:avLst/>
                                    </a:prstGeom>
                                  </pic:spPr>
                                </pic:pic>
                              </a:graphicData>
                            </a:graphic>
                          </wp:inline>
                        </w:drawing>
                      </w:r>
                    </w:p>
                    <w:p w:rsidRPr="00567764" w:rsidR="002B5311" w:rsidP="00D74452" w:rsidRDefault="00652FE4" w14:paraId="0D3A1B6A" w14:textId="524F66EF">
                      <w:pPr>
                        <w:pStyle w:val="BodyText125"/>
                        <w:spacing w:before="960" w:after="0"/>
                        <w:ind w:left="1080" w:right="1483"/>
                        <w:rPr>
                          <w:b/>
                          <w:color w:val="FFFFFF" w:themeColor="background1"/>
                          <w:sz w:val="48"/>
                          <w:szCs w:val="48"/>
                        </w:rPr>
                      </w:pPr>
                      <w:r>
                        <w:rPr>
                          <w:b/>
                          <w:color w:val="FFFFFF" w:themeColor="background1"/>
                          <w:sz w:val="48"/>
                          <w:szCs w:val="48"/>
                        </w:rPr>
                        <w:t>Development Charges Update Study</w:t>
                      </w:r>
                    </w:p>
                    <w:p w:rsidRPr="00567764" w:rsidR="002B5311" w:rsidP="00567764" w:rsidRDefault="006B24E0" w14:paraId="7B93D448" w14:textId="310ACCE4">
                      <w:pPr>
                        <w:pStyle w:val="BodyText125"/>
                        <w:spacing w:before="80" w:after="0" w:line="288" w:lineRule="auto"/>
                        <w:ind w:left="1080" w:right="1486"/>
                        <w:rPr>
                          <w:color w:val="FFFFFF" w:themeColor="background1"/>
                          <w:sz w:val="40"/>
                          <w:szCs w:val="40"/>
                        </w:rPr>
                      </w:pPr>
                      <w:r>
                        <w:rPr>
                          <w:color w:val="FFFFFF" w:themeColor="background1"/>
                          <w:sz w:val="40"/>
                          <w:szCs w:val="40"/>
                        </w:rPr>
                        <w:t>City of Cambridge</w:t>
                      </w:r>
                    </w:p>
                    <w:p w:rsidRPr="00567764" w:rsidR="002B5311" w:rsidP="006F0D2B" w:rsidRDefault="002B5311" w14:paraId="0CC1C81A" w14:textId="77777777">
                      <w:pPr>
                        <w:pStyle w:val="BodyText125"/>
                        <w:ind w:left="1080" w:right="1486"/>
                        <w:rPr>
                          <w:color w:val="FFFFFF" w:themeColor="background1"/>
                          <w:sz w:val="40"/>
                          <w:szCs w:val="40"/>
                        </w:rPr>
                      </w:pPr>
                      <w:r w:rsidRPr="00567764">
                        <w:rPr>
                          <w:color w:val="FFFFFF" w:themeColor="background1"/>
                          <w:sz w:val="40"/>
                          <w:szCs w:val="40"/>
                        </w:rPr>
                        <w:t>________________________</w:t>
                      </w:r>
                    </w:p>
                    <w:p w:rsidRPr="00567764" w:rsidR="002B5311" w:rsidP="006F0D2B" w:rsidRDefault="002B5311" w14:paraId="0A37501D" w14:textId="07397F10">
                      <w:pPr>
                        <w:pStyle w:val="BodyText125"/>
                        <w:spacing w:after="0" w:line="240" w:lineRule="auto"/>
                        <w:ind w:left="1080" w:right="1483"/>
                        <w:rPr>
                          <w:color w:val="FFFFFF" w:themeColor="background1"/>
                          <w:sz w:val="32"/>
                          <w:szCs w:val="32"/>
                        </w:rPr>
                      </w:pPr>
                    </w:p>
                  </w:txbxContent>
                </v:textbox>
                <w10:anchorlock/>
              </v:shape>
            </w:pict>
          </mc:Fallback>
        </mc:AlternateContent>
      </w:r>
    </w:p>
    <w:p w:rsidRPr="0015322B" w:rsidR="006B5C96" w:rsidP="000351B9" w:rsidRDefault="002164A1" w14:paraId="18B2194C" w14:textId="77777777">
      <w:pPr>
        <w:pStyle w:val="TOCHeading"/>
        <w:spacing w:before="0"/>
        <w:rPr>
          <w:lang w:val="en-CA"/>
        </w:rPr>
      </w:pPr>
      <w:r w:rsidRPr="0015322B">
        <w:rPr>
          <w:lang w:val="en-CA"/>
        </w:rPr>
        <w:t>Table of Contents</w:t>
      </w:r>
    </w:p>
    <w:p w:rsidRPr="0015322B" w:rsidR="003C6044" w:rsidP="003C6044" w:rsidRDefault="003C6044" w14:paraId="0381402B" w14:textId="77777777">
      <w:pPr>
        <w:jc w:val="right"/>
        <w:rPr>
          <w:lang w:val="en-CA"/>
        </w:rPr>
      </w:pPr>
      <w:r w:rsidRPr="0015322B">
        <w:rPr>
          <w:lang w:val="en-CA"/>
        </w:rPr>
        <w:t>Page</w:t>
      </w:r>
    </w:p>
    <w:p w:rsidR="00872A47" w:rsidRDefault="00C03B0D" w14:paraId="1CAA94AF" w14:textId="0958C8D9">
      <w:pPr>
        <w:pStyle w:val="TOC1"/>
        <w:rPr>
          <w:rFonts w:eastAsiaTheme="minorEastAsia" w:cstheme="minorBidi"/>
          <w:b w:val="0"/>
          <w:bCs w:val="0"/>
          <w:noProof/>
          <w:color w:val="auto"/>
          <w:kern w:val="2"/>
          <w:szCs w:val="24"/>
          <w:lang w:val="en-CA" w:eastAsia="en-CA"/>
          <w14:ligatures w14:val="standardContextual"/>
        </w:rPr>
      </w:pPr>
      <w:r w:rsidRPr="0015322B">
        <w:rPr>
          <w:lang w:val="en-CA"/>
        </w:rPr>
        <w:fldChar w:fldCharType="begin"/>
      </w:r>
      <w:r w:rsidRPr="0015322B">
        <w:rPr>
          <w:lang w:val="en-CA"/>
        </w:rPr>
        <w:instrText xml:space="preserve"> TOC \o "1-3" \h \z \u </w:instrText>
      </w:r>
      <w:r w:rsidRPr="0015322B">
        <w:rPr>
          <w:lang w:val="en-CA"/>
        </w:rPr>
        <w:fldChar w:fldCharType="separate"/>
      </w:r>
      <w:hyperlink w:history="1" w:anchor="_Toc213674168">
        <w:r w:rsidRPr="0025103A" w:rsidR="00872A47">
          <w:rPr>
            <w:rStyle w:val="Hyperlink"/>
            <w:noProof/>
            <w:lang w:val="en-CA"/>
          </w:rPr>
          <w:t>1.</w:t>
        </w:r>
        <w:r w:rsidR="00872A47">
          <w:rPr>
            <w:rFonts w:eastAsiaTheme="minorEastAsia" w:cstheme="minorBidi"/>
            <w:b w:val="0"/>
            <w:bCs w:val="0"/>
            <w:noProof/>
            <w:color w:val="auto"/>
            <w:kern w:val="2"/>
            <w:szCs w:val="24"/>
            <w:lang w:val="en-CA" w:eastAsia="en-CA"/>
            <w14:ligatures w14:val="standardContextual"/>
          </w:rPr>
          <w:tab/>
        </w:r>
        <w:r w:rsidRPr="0025103A" w:rsidR="00872A47">
          <w:rPr>
            <w:rStyle w:val="Hyperlink"/>
            <w:noProof/>
            <w:lang w:val="en-CA"/>
          </w:rPr>
          <w:t>Introduction</w:t>
        </w:r>
        <w:r w:rsidR="00872A47">
          <w:rPr>
            <w:noProof/>
            <w:webHidden/>
          </w:rPr>
          <w:tab/>
        </w:r>
        <w:r w:rsidR="00872A47">
          <w:rPr>
            <w:noProof/>
            <w:webHidden/>
          </w:rPr>
          <w:fldChar w:fldCharType="begin"/>
        </w:r>
        <w:r w:rsidR="00872A47">
          <w:rPr>
            <w:noProof/>
            <w:webHidden/>
          </w:rPr>
          <w:instrText xml:space="preserve"> PAGEREF _Toc213674168 \h </w:instrText>
        </w:r>
        <w:r w:rsidR="00872A47">
          <w:rPr>
            <w:noProof/>
            <w:webHidden/>
          </w:rPr>
        </w:r>
        <w:r w:rsidR="00872A47">
          <w:rPr>
            <w:noProof/>
            <w:webHidden/>
          </w:rPr>
          <w:fldChar w:fldCharType="separate"/>
        </w:r>
        <w:r w:rsidR="005C29E7">
          <w:rPr>
            <w:noProof/>
            <w:webHidden/>
          </w:rPr>
          <w:t>1</w:t>
        </w:r>
        <w:r w:rsidR="00872A47">
          <w:rPr>
            <w:noProof/>
            <w:webHidden/>
          </w:rPr>
          <w:fldChar w:fldCharType="end"/>
        </w:r>
      </w:hyperlink>
    </w:p>
    <w:p w:rsidR="00872A47" w:rsidRDefault="00872A47" w14:paraId="5716C1FC" w14:textId="68FD7CE6">
      <w:pPr>
        <w:pStyle w:val="TOC2"/>
        <w:tabs>
          <w:tab w:val="left" w:pos="1440"/>
          <w:tab w:val="right" w:leader="dot" w:pos="9350"/>
        </w:tabs>
        <w:rPr>
          <w:rFonts w:eastAsiaTheme="minorEastAsia" w:cstheme="minorBidi"/>
          <w:iCs w:val="0"/>
          <w:noProof/>
          <w:color w:val="auto"/>
          <w:kern w:val="2"/>
          <w:szCs w:val="24"/>
          <w:lang w:val="en-CA" w:eastAsia="en-CA"/>
          <w14:ligatures w14:val="standardContextual"/>
        </w:rPr>
      </w:pPr>
      <w:hyperlink w:history="1" w:anchor="_Toc213674169">
        <w:r w:rsidRPr="0025103A">
          <w:rPr>
            <w:rStyle w:val="Hyperlink"/>
            <w:noProof/>
            <w:lang w:val="en-CA"/>
          </w:rPr>
          <w:t>1.1</w:t>
        </w:r>
        <w:r>
          <w:rPr>
            <w:rFonts w:eastAsiaTheme="minorEastAsia" w:cstheme="minorBidi"/>
            <w:iCs w:val="0"/>
            <w:noProof/>
            <w:color w:val="auto"/>
            <w:kern w:val="2"/>
            <w:szCs w:val="24"/>
            <w:lang w:val="en-CA" w:eastAsia="en-CA"/>
            <w14:ligatures w14:val="standardContextual"/>
          </w:rPr>
          <w:tab/>
        </w:r>
        <w:r w:rsidRPr="0025103A">
          <w:rPr>
            <w:rStyle w:val="Hyperlink"/>
            <w:noProof/>
            <w:lang w:val="en-CA"/>
          </w:rPr>
          <w:t>Background</w:t>
        </w:r>
        <w:r>
          <w:rPr>
            <w:noProof/>
            <w:webHidden/>
          </w:rPr>
          <w:tab/>
        </w:r>
        <w:r>
          <w:rPr>
            <w:noProof/>
            <w:webHidden/>
          </w:rPr>
          <w:fldChar w:fldCharType="begin"/>
        </w:r>
        <w:r>
          <w:rPr>
            <w:noProof/>
            <w:webHidden/>
          </w:rPr>
          <w:instrText xml:space="preserve"> PAGEREF _Toc213674169 \h </w:instrText>
        </w:r>
        <w:r>
          <w:rPr>
            <w:noProof/>
            <w:webHidden/>
          </w:rPr>
        </w:r>
        <w:r>
          <w:rPr>
            <w:noProof/>
            <w:webHidden/>
          </w:rPr>
          <w:fldChar w:fldCharType="separate"/>
        </w:r>
        <w:r w:rsidR="005C29E7">
          <w:rPr>
            <w:noProof/>
            <w:webHidden/>
          </w:rPr>
          <w:t>1</w:t>
        </w:r>
        <w:r>
          <w:rPr>
            <w:noProof/>
            <w:webHidden/>
          </w:rPr>
          <w:fldChar w:fldCharType="end"/>
        </w:r>
      </w:hyperlink>
    </w:p>
    <w:p w:rsidR="00872A47" w:rsidRDefault="00872A47" w14:paraId="1F1CB42B" w14:textId="1B2C431D">
      <w:pPr>
        <w:pStyle w:val="TOC2"/>
        <w:tabs>
          <w:tab w:val="left" w:pos="1440"/>
          <w:tab w:val="right" w:leader="dot" w:pos="9350"/>
        </w:tabs>
        <w:rPr>
          <w:rFonts w:eastAsiaTheme="minorEastAsia" w:cstheme="minorBidi"/>
          <w:iCs w:val="0"/>
          <w:noProof/>
          <w:color w:val="auto"/>
          <w:kern w:val="2"/>
          <w:szCs w:val="24"/>
          <w:lang w:val="en-CA" w:eastAsia="en-CA"/>
          <w14:ligatures w14:val="standardContextual"/>
        </w:rPr>
      </w:pPr>
      <w:hyperlink w:history="1" w:anchor="_Toc213674170">
        <w:r w:rsidRPr="0025103A">
          <w:rPr>
            <w:rStyle w:val="Hyperlink"/>
            <w:noProof/>
            <w:lang w:val="en-CA"/>
          </w:rPr>
          <w:t>1.2</w:t>
        </w:r>
        <w:r>
          <w:rPr>
            <w:rFonts w:eastAsiaTheme="minorEastAsia" w:cstheme="minorBidi"/>
            <w:iCs w:val="0"/>
            <w:noProof/>
            <w:color w:val="auto"/>
            <w:kern w:val="2"/>
            <w:szCs w:val="24"/>
            <w:lang w:val="en-CA" w:eastAsia="en-CA"/>
            <w14:ligatures w14:val="standardContextual"/>
          </w:rPr>
          <w:tab/>
        </w:r>
        <w:r w:rsidRPr="0025103A">
          <w:rPr>
            <w:rStyle w:val="Hyperlink"/>
            <w:noProof/>
            <w:lang w:val="en-CA"/>
          </w:rPr>
          <w:t>Existing Policies (Rules)</w:t>
        </w:r>
        <w:r>
          <w:rPr>
            <w:noProof/>
            <w:webHidden/>
          </w:rPr>
          <w:tab/>
        </w:r>
        <w:r>
          <w:rPr>
            <w:noProof/>
            <w:webHidden/>
          </w:rPr>
          <w:fldChar w:fldCharType="begin"/>
        </w:r>
        <w:r>
          <w:rPr>
            <w:noProof/>
            <w:webHidden/>
          </w:rPr>
          <w:instrText xml:space="preserve"> PAGEREF _Toc213674170 \h </w:instrText>
        </w:r>
        <w:r>
          <w:rPr>
            <w:noProof/>
            <w:webHidden/>
          </w:rPr>
        </w:r>
        <w:r>
          <w:rPr>
            <w:noProof/>
            <w:webHidden/>
          </w:rPr>
          <w:fldChar w:fldCharType="separate"/>
        </w:r>
        <w:r w:rsidR="005C29E7">
          <w:rPr>
            <w:noProof/>
            <w:webHidden/>
          </w:rPr>
          <w:t>2</w:t>
        </w:r>
        <w:r>
          <w:rPr>
            <w:noProof/>
            <w:webHidden/>
          </w:rPr>
          <w:fldChar w:fldCharType="end"/>
        </w:r>
      </w:hyperlink>
    </w:p>
    <w:p w:rsidR="00872A47" w:rsidRDefault="00872A47" w14:paraId="2B38A45F" w14:textId="79498FBB">
      <w:pPr>
        <w:pStyle w:val="TOC2"/>
        <w:tabs>
          <w:tab w:val="left" w:pos="1440"/>
          <w:tab w:val="right" w:leader="dot" w:pos="9350"/>
        </w:tabs>
        <w:rPr>
          <w:rFonts w:eastAsiaTheme="minorEastAsia" w:cstheme="minorBidi"/>
          <w:iCs w:val="0"/>
          <w:noProof/>
          <w:color w:val="auto"/>
          <w:kern w:val="2"/>
          <w:szCs w:val="24"/>
          <w:lang w:val="en-CA" w:eastAsia="en-CA"/>
          <w14:ligatures w14:val="standardContextual"/>
        </w:rPr>
      </w:pPr>
      <w:hyperlink w:history="1" w:anchor="_Toc213674171">
        <w:r w:rsidRPr="0025103A">
          <w:rPr>
            <w:rStyle w:val="Hyperlink"/>
            <w:noProof/>
            <w:lang w:val="en-CA"/>
          </w:rPr>
          <w:t>1.3</w:t>
        </w:r>
        <w:r>
          <w:rPr>
            <w:rFonts w:eastAsiaTheme="minorEastAsia" w:cstheme="minorBidi"/>
            <w:iCs w:val="0"/>
            <w:noProof/>
            <w:color w:val="auto"/>
            <w:kern w:val="2"/>
            <w:szCs w:val="24"/>
            <w:lang w:val="en-CA" w:eastAsia="en-CA"/>
            <w14:ligatures w14:val="standardContextual"/>
          </w:rPr>
          <w:tab/>
        </w:r>
        <w:r w:rsidRPr="0025103A">
          <w:rPr>
            <w:rStyle w:val="Hyperlink"/>
            <w:noProof/>
            <w:lang w:val="en-CA"/>
          </w:rPr>
          <w:t>Basis for the D.C. By-law Update</w:t>
        </w:r>
        <w:r>
          <w:rPr>
            <w:noProof/>
            <w:webHidden/>
          </w:rPr>
          <w:tab/>
        </w:r>
        <w:r>
          <w:rPr>
            <w:noProof/>
            <w:webHidden/>
          </w:rPr>
          <w:fldChar w:fldCharType="begin"/>
        </w:r>
        <w:r>
          <w:rPr>
            <w:noProof/>
            <w:webHidden/>
          </w:rPr>
          <w:instrText xml:space="preserve"> PAGEREF _Toc213674171 \h </w:instrText>
        </w:r>
        <w:r>
          <w:rPr>
            <w:noProof/>
            <w:webHidden/>
          </w:rPr>
        </w:r>
        <w:r>
          <w:rPr>
            <w:noProof/>
            <w:webHidden/>
          </w:rPr>
          <w:fldChar w:fldCharType="separate"/>
        </w:r>
        <w:r w:rsidR="005C29E7">
          <w:rPr>
            <w:noProof/>
            <w:webHidden/>
          </w:rPr>
          <w:t>2</w:t>
        </w:r>
        <w:r>
          <w:rPr>
            <w:noProof/>
            <w:webHidden/>
          </w:rPr>
          <w:fldChar w:fldCharType="end"/>
        </w:r>
      </w:hyperlink>
    </w:p>
    <w:p w:rsidR="00872A47" w:rsidRDefault="00872A47" w14:paraId="3706A6AE" w14:textId="4A2EA5AA">
      <w:pPr>
        <w:pStyle w:val="TOC2"/>
        <w:tabs>
          <w:tab w:val="left" w:pos="1440"/>
          <w:tab w:val="right" w:leader="dot" w:pos="9350"/>
        </w:tabs>
        <w:rPr>
          <w:rFonts w:eastAsiaTheme="minorEastAsia" w:cstheme="minorBidi"/>
          <w:iCs w:val="0"/>
          <w:noProof/>
          <w:color w:val="auto"/>
          <w:kern w:val="2"/>
          <w:szCs w:val="24"/>
          <w:lang w:val="en-CA" w:eastAsia="en-CA"/>
          <w14:ligatures w14:val="standardContextual"/>
        </w:rPr>
      </w:pPr>
      <w:hyperlink w:history="1" w:anchor="_Toc213674172">
        <w:r w:rsidRPr="0025103A">
          <w:rPr>
            <w:rStyle w:val="Hyperlink"/>
            <w:noProof/>
            <w:lang w:val="en-CA"/>
          </w:rPr>
          <w:t>1.4</w:t>
        </w:r>
        <w:r>
          <w:rPr>
            <w:rFonts w:eastAsiaTheme="minorEastAsia" w:cstheme="minorBidi"/>
            <w:iCs w:val="0"/>
            <w:noProof/>
            <w:color w:val="auto"/>
            <w:kern w:val="2"/>
            <w:szCs w:val="24"/>
            <w:lang w:val="en-CA" w:eastAsia="en-CA"/>
            <w14:ligatures w14:val="standardContextual"/>
          </w:rPr>
          <w:tab/>
        </w:r>
        <w:r w:rsidRPr="0025103A">
          <w:rPr>
            <w:rStyle w:val="Hyperlink"/>
            <w:noProof/>
            <w:lang w:val="en-CA"/>
          </w:rPr>
          <w:t>Summary of the Process</w:t>
        </w:r>
        <w:r>
          <w:rPr>
            <w:noProof/>
            <w:webHidden/>
          </w:rPr>
          <w:tab/>
        </w:r>
        <w:r>
          <w:rPr>
            <w:noProof/>
            <w:webHidden/>
          </w:rPr>
          <w:fldChar w:fldCharType="begin"/>
        </w:r>
        <w:r>
          <w:rPr>
            <w:noProof/>
            <w:webHidden/>
          </w:rPr>
          <w:instrText xml:space="preserve"> PAGEREF _Toc213674172 \h </w:instrText>
        </w:r>
        <w:r>
          <w:rPr>
            <w:noProof/>
            <w:webHidden/>
          </w:rPr>
        </w:r>
        <w:r>
          <w:rPr>
            <w:noProof/>
            <w:webHidden/>
          </w:rPr>
          <w:fldChar w:fldCharType="separate"/>
        </w:r>
        <w:r w:rsidR="005C29E7">
          <w:rPr>
            <w:noProof/>
            <w:webHidden/>
          </w:rPr>
          <w:t>3</w:t>
        </w:r>
        <w:r>
          <w:rPr>
            <w:noProof/>
            <w:webHidden/>
          </w:rPr>
          <w:fldChar w:fldCharType="end"/>
        </w:r>
      </w:hyperlink>
    </w:p>
    <w:p w:rsidR="00872A47" w:rsidRDefault="00872A47" w14:paraId="153536B5" w14:textId="7475F4DC">
      <w:pPr>
        <w:pStyle w:val="TOC2"/>
        <w:tabs>
          <w:tab w:val="left" w:pos="1440"/>
          <w:tab w:val="right" w:leader="dot" w:pos="9350"/>
        </w:tabs>
        <w:rPr>
          <w:rFonts w:eastAsiaTheme="minorEastAsia" w:cstheme="minorBidi"/>
          <w:iCs w:val="0"/>
          <w:noProof/>
          <w:color w:val="auto"/>
          <w:kern w:val="2"/>
          <w:szCs w:val="24"/>
          <w:lang w:val="en-CA" w:eastAsia="en-CA"/>
          <w14:ligatures w14:val="standardContextual"/>
        </w:rPr>
      </w:pPr>
      <w:hyperlink w:history="1" w:anchor="_Toc213674173">
        <w:r w:rsidRPr="0025103A">
          <w:rPr>
            <w:rStyle w:val="Hyperlink"/>
            <w:noProof/>
            <w:lang w:val="en-CA"/>
          </w:rPr>
          <w:t>1.5</w:t>
        </w:r>
        <w:r>
          <w:rPr>
            <w:rFonts w:eastAsiaTheme="minorEastAsia" w:cstheme="minorBidi"/>
            <w:iCs w:val="0"/>
            <w:noProof/>
            <w:color w:val="auto"/>
            <w:kern w:val="2"/>
            <w:szCs w:val="24"/>
            <w:lang w:val="en-CA" w:eastAsia="en-CA"/>
            <w14:ligatures w14:val="standardContextual"/>
          </w:rPr>
          <w:tab/>
        </w:r>
        <w:r w:rsidRPr="0025103A">
          <w:rPr>
            <w:rStyle w:val="Hyperlink"/>
            <w:noProof/>
            <w:lang w:val="en-CA"/>
          </w:rPr>
          <w:t>Policy Recommendations</w:t>
        </w:r>
        <w:r>
          <w:rPr>
            <w:noProof/>
            <w:webHidden/>
          </w:rPr>
          <w:tab/>
        </w:r>
        <w:r>
          <w:rPr>
            <w:noProof/>
            <w:webHidden/>
          </w:rPr>
          <w:fldChar w:fldCharType="begin"/>
        </w:r>
        <w:r>
          <w:rPr>
            <w:noProof/>
            <w:webHidden/>
          </w:rPr>
          <w:instrText xml:space="preserve"> PAGEREF _Toc213674173 \h </w:instrText>
        </w:r>
        <w:r>
          <w:rPr>
            <w:noProof/>
            <w:webHidden/>
          </w:rPr>
        </w:r>
        <w:r>
          <w:rPr>
            <w:noProof/>
            <w:webHidden/>
          </w:rPr>
          <w:fldChar w:fldCharType="separate"/>
        </w:r>
        <w:r w:rsidR="005C29E7">
          <w:rPr>
            <w:noProof/>
            <w:webHidden/>
          </w:rPr>
          <w:t>4</w:t>
        </w:r>
        <w:r>
          <w:rPr>
            <w:noProof/>
            <w:webHidden/>
          </w:rPr>
          <w:fldChar w:fldCharType="end"/>
        </w:r>
      </w:hyperlink>
    </w:p>
    <w:p w:rsidR="00872A47" w:rsidRDefault="00872A47" w14:paraId="35807AE5" w14:textId="5DDF9A2F">
      <w:pPr>
        <w:pStyle w:val="TOC1"/>
        <w:rPr>
          <w:rFonts w:eastAsiaTheme="minorEastAsia" w:cstheme="minorBidi"/>
          <w:b w:val="0"/>
          <w:bCs w:val="0"/>
          <w:noProof/>
          <w:color w:val="auto"/>
          <w:kern w:val="2"/>
          <w:szCs w:val="24"/>
          <w:lang w:val="en-CA" w:eastAsia="en-CA"/>
          <w14:ligatures w14:val="standardContextual"/>
        </w:rPr>
      </w:pPr>
      <w:hyperlink w:history="1" w:anchor="_Toc213674174">
        <w:r w:rsidRPr="0025103A">
          <w:rPr>
            <w:rStyle w:val="Hyperlink"/>
            <w:noProof/>
            <w:lang w:val="en-CA"/>
          </w:rPr>
          <w:t>2.</w:t>
        </w:r>
        <w:r>
          <w:rPr>
            <w:rFonts w:eastAsiaTheme="minorEastAsia" w:cstheme="minorBidi"/>
            <w:b w:val="0"/>
            <w:bCs w:val="0"/>
            <w:noProof/>
            <w:color w:val="auto"/>
            <w:kern w:val="2"/>
            <w:szCs w:val="24"/>
            <w:lang w:val="en-CA" w:eastAsia="en-CA"/>
            <w14:ligatures w14:val="standardContextual"/>
          </w:rPr>
          <w:tab/>
        </w:r>
        <w:r w:rsidRPr="0025103A">
          <w:rPr>
            <w:rStyle w:val="Hyperlink"/>
            <w:noProof/>
            <w:lang w:val="en-CA"/>
          </w:rPr>
          <w:t xml:space="preserve">Changes to the </w:t>
        </w:r>
        <w:r w:rsidRPr="0025103A">
          <w:rPr>
            <w:rStyle w:val="Hyperlink"/>
            <w:i/>
            <w:iCs/>
            <w:noProof/>
            <w:lang w:val="en-CA"/>
          </w:rPr>
          <w:t>Development Charges Act, 1997</w:t>
        </w:r>
        <w:r>
          <w:rPr>
            <w:noProof/>
            <w:webHidden/>
          </w:rPr>
          <w:tab/>
        </w:r>
        <w:r>
          <w:rPr>
            <w:noProof/>
            <w:webHidden/>
          </w:rPr>
          <w:fldChar w:fldCharType="begin"/>
        </w:r>
        <w:r>
          <w:rPr>
            <w:noProof/>
            <w:webHidden/>
          </w:rPr>
          <w:instrText xml:space="preserve"> PAGEREF _Toc213674174 \h </w:instrText>
        </w:r>
        <w:r>
          <w:rPr>
            <w:noProof/>
            <w:webHidden/>
          </w:rPr>
        </w:r>
        <w:r>
          <w:rPr>
            <w:noProof/>
            <w:webHidden/>
          </w:rPr>
          <w:fldChar w:fldCharType="separate"/>
        </w:r>
        <w:r w:rsidR="005C29E7">
          <w:rPr>
            <w:noProof/>
            <w:webHidden/>
          </w:rPr>
          <w:t>7</w:t>
        </w:r>
        <w:r>
          <w:rPr>
            <w:noProof/>
            <w:webHidden/>
          </w:rPr>
          <w:fldChar w:fldCharType="end"/>
        </w:r>
      </w:hyperlink>
    </w:p>
    <w:p w:rsidR="00872A47" w:rsidRDefault="00872A47" w14:paraId="1CF7856D" w14:textId="154CD7A1">
      <w:pPr>
        <w:pStyle w:val="TOC1"/>
        <w:rPr>
          <w:rFonts w:eastAsiaTheme="minorEastAsia" w:cstheme="minorBidi"/>
          <w:b w:val="0"/>
          <w:bCs w:val="0"/>
          <w:noProof/>
          <w:color w:val="auto"/>
          <w:kern w:val="2"/>
          <w:szCs w:val="24"/>
          <w:lang w:val="en-CA" w:eastAsia="en-CA"/>
          <w14:ligatures w14:val="standardContextual"/>
        </w:rPr>
      </w:pPr>
      <w:hyperlink w:history="1" w:anchor="_Toc213674175">
        <w:r w:rsidRPr="0025103A">
          <w:rPr>
            <w:rStyle w:val="Hyperlink"/>
            <w:noProof/>
            <w:lang w:val="en-CA"/>
          </w:rPr>
          <w:t>3.</w:t>
        </w:r>
        <w:r>
          <w:rPr>
            <w:rFonts w:eastAsiaTheme="minorEastAsia" w:cstheme="minorBidi"/>
            <w:b w:val="0"/>
            <w:bCs w:val="0"/>
            <w:noProof/>
            <w:color w:val="auto"/>
            <w:kern w:val="2"/>
            <w:szCs w:val="24"/>
            <w:lang w:val="en-CA" w:eastAsia="en-CA"/>
            <w14:ligatures w14:val="standardContextual"/>
          </w:rPr>
          <w:tab/>
        </w:r>
        <w:r w:rsidRPr="0025103A">
          <w:rPr>
            <w:rStyle w:val="Hyperlink"/>
            <w:noProof/>
            <w:lang w:val="en-CA"/>
          </w:rPr>
          <w:t>Anticipated Development</w:t>
        </w:r>
        <w:r>
          <w:rPr>
            <w:noProof/>
            <w:webHidden/>
          </w:rPr>
          <w:tab/>
        </w:r>
        <w:r>
          <w:rPr>
            <w:noProof/>
            <w:webHidden/>
          </w:rPr>
          <w:fldChar w:fldCharType="begin"/>
        </w:r>
        <w:r>
          <w:rPr>
            <w:noProof/>
            <w:webHidden/>
          </w:rPr>
          <w:instrText xml:space="preserve"> PAGEREF _Toc213674175 \h </w:instrText>
        </w:r>
        <w:r>
          <w:rPr>
            <w:noProof/>
            <w:webHidden/>
          </w:rPr>
        </w:r>
        <w:r>
          <w:rPr>
            <w:noProof/>
            <w:webHidden/>
          </w:rPr>
          <w:fldChar w:fldCharType="separate"/>
        </w:r>
        <w:r w:rsidR="005C29E7">
          <w:rPr>
            <w:noProof/>
            <w:webHidden/>
          </w:rPr>
          <w:t>10</w:t>
        </w:r>
        <w:r>
          <w:rPr>
            <w:noProof/>
            <w:webHidden/>
          </w:rPr>
          <w:fldChar w:fldCharType="end"/>
        </w:r>
      </w:hyperlink>
    </w:p>
    <w:p w:rsidR="00872A47" w:rsidRDefault="00872A47" w14:paraId="5EC65F18" w14:textId="4EA62C5D">
      <w:pPr>
        <w:pStyle w:val="TOC2"/>
        <w:tabs>
          <w:tab w:val="left" w:pos="1440"/>
          <w:tab w:val="right" w:leader="dot" w:pos="9350"/>
        </w:tabs>
        <w:rPr>
          <w:rFonts w:eastAsiaTheme="minorEastAsia" w:cstheme="minorBidi"/>
          <w:iCs w:val="0"/>
          <w:noProof/>
          <w:color w:val="auto"/>
          <w:kern w:val="2"/>
          <w:szCs w:val="24"/>
          <w:lang w:val="en-CA" w:eastAsia="en-CA"/>
          <w14:ligatures w14:val="standardContextual"/>
        </w:rPr>
      </w:pPr>
      <w:hyperlink w:history="1" w:anchor="_Toc213674176">
        <w:r w:rsidRPr="0025103A">
          <w:rPr>
            <w:rStyle w:val="Hyperlink"/>
            <w:noProof/>
            <w:lang w:val="en-CA"/>
          </w:rPr>
          <w:t>3.1</w:t>
        </w:r>
        <w:r>
          <w:rPr>
            <w:rFonts w:eastAsiaTheme="minorEastAsia" w:cstheme="minorBidi"/>
            <w:iCs w:val="0"/>
            <w:noProof/>
            <w:color w:val="auto"/>
            <w:kern w:val="2"/>
            <w:szCs w:val="24"/>
            <w:lang w:val="en-CA" w:eastAsia="en-CA"/>
            <w14:ligatures w14:val="standardContextual"/>
          </w:rPr>
          <w:tab/>
        </w:r>
        <w:r w:rsidRPr="0025103A">
          <w:rPr>
            <w:rStyle w:val="Hyperlink"/>
            <w:noProof/>
            <w:lang w:val="en-CA"/>
          </w:rPr>
          <w:t>Growth Forecast from the 2023 D.C. Study</w:t>
        </w:r>
        <w:r>
          <w:rPr>
            <w:noProof/>
            <w:webHidden/>
          </w:rPr>
          <w:tab/>
        </w:r>
        <w:r>
          <w:rPr>
            <w:noProof/>
            <w:webHidden/>
          </w:rPr>
          <w:fldChar w:fldCharType="begin"/>
        </w:r>
        <w:r>
          <w:rPr>
            <w:noProof/>
            <w:webHidden/>
          </w:rPr>
          <w:instrText xml:space="preserve"> PAGEREF _Toc213674176 \h </w:instrText>
        </w:r>
        <w:r>
          <w:rPr>
            <w:noProof/>
            <w:webHidden/>
          </w:rPr>
        </w:r>
        <w:r>
          <w:rPr>
            <w:noProof/>
            <w:webHidden/>
          </w:rPr>
          <w:fldChar w:fldCharType="separate"/>
        </w:r>
        <w:r w:rsidR="005C29E7">
          <w:rPr>
            <w:noProof/>
            <w:webHidden/>
          </w:rPr>
          <w:t>10</w:t>
        </w:r>
        <w:r>
          <w:rPr>
            <w:noProof/>
            <w:webHidden/>
          </w:rPr>
          <w:fldChar w:fldCharType="end"/>
        </w:r>
      </w:hyperlink>
    </w:p>
    <w:p w:rsidR="00872A47" w:rsidRDefault="00872A47" w14:paraId="7B3AF3E8" w14:textId="31DB0F17">
      <w:pPr>
        <w:pStyle w:val="TOC1"/>
        <w:rPr>
          <w:rFonts w:eastAsiaTheme="minorEastAsia" w:cstheme="minorBidi"/>
          <w:b w:val="0"/>
          <w:bCs w:val="0"/>
          <w:noProof/>
          <w:color w:val="auto"/>
          <w:kern w:val="2"/>
          <w:szCs w:val="24"/>
          <w:lang w:val="en-CA" w:eastAsia="en-CA"/>
          <w14:ligatures w14:val="standardContextual"/>
        </w:rPr>
      </w:pPr>
      <w:hyperlink w:history="1" w:anchor="_Toc213674177">
        <w:r w:rsidRPr="0025103A">
          <w:rPr>
            <w:rStyle w:val="Hyperlink"/>
            <w:noProof/>
            <w:lang w:val="en-CA"/>
          </w:rPr>
          <w:t>4.</w:t>
        </w:r>
        <w:r>
          <w:rPr>
            <w:rFonts w:eastAsiaTheme="minorEastAsia" w:cstheme="minorBidi"/>
            <w:b w:val="0"/>
            <w:bCs w:val="0"/>
            <w:noProof/>
            <w:color w:val="auto"/>
            <w:kern w:val="2"/>
            <w:szCs w:val="24"/>
            <w:lang w:val="en-CA" w:eastAsia="en-CA"/>
            <w14:ligatures w14:val="standardContextual"/>
          </w:rPr>
          <w:tab/>
        </w:r>
        <w:r w:rsidRPr="0025103A">
          <w:rPr>
            <w:rStyle w:val="Hyperlink"/>
            <w:noProof/>
            <w:lang w:val="en-CA"/>
          </w:rPr>
          <w:t>Updates to the City’s D.C. Study</w:t>
        </w:r>
        <w:r>
          <w:rPr>
            <w:noProof/>
            <w:webHidden/>
          </w:rPr>
          <w:tab/>
        </w:r>
        <w:r>
          <w:rPr>
            <w:noProof/>
            <w:webHidden/>
          </w:rPr>
          <w:fldChar w:fldCharType="begin"/>
        </w:r>
        <w:r>
          <w:rPr>
            <w:noProof/>
            <w:webHidden/>
          </w:rPr>
          <w:instrText xml:space="preserve"> PAGEREF _Toc213674177 \h </w:instrText>
        </w:r>
        <w:r>
          <w:rPr>
            <w:noProof/>
            <w:webHidden/>
          </w:rPr>
        </w:r>
        <w:r>
          <w:rPr>
            <w:noProof/>
            <w:webHidden/>
          </w:rPr>
          <w:fldChar w:fldCharType="separate"/>
        </w:r>
        <w:r w:rsidR="005C29E7">
          <w:rPr>
            <w:noProof/>
            <w:webHidden/>
          </w:rPr>
          <w:t>12</w:t>
        </w:r>
        <w:r>
          <w:rPr>
            <w:noProof/>
            <w:webHidden/>
          </w:rPr>
          <w:fldChar w:fldCharType="end"/>
        </w:r>
      </w:hyperlink>
    </w:p>
    <w:p w:rsidR="00872A47" w:rsidRDefault="00872A47" w14:paraId="1FAC0378" w14:textId="690F4D37">
      <w:pPr>
        <w:pStyle w:val="TOC2"/>
        <w:tabs>
          <w:tab w:val="left" w:pos="1440"/>
          <w:tab w:val="right" w:leader="dot" w:pos="9350"/>
        </w:tabs>
        <w:rPr>
          <w:rFonts w:eastAsiaTheme="minorEastAsia" w:cstheme="minorBidi"/>
          <w:iCs w:val="0"/>
          <w:noProof/>
          <w:color w:val="auto"/>
          <w:kern w:val="2"/>
          <w:szCs w:val="24"/>
          <w:lang w:val="en-CA" w:eastAsia="en-CA"/>
          <w14:ligatures w14:val="standardContextual"/>
        </w:rPr>
      </w:pPr>
      <w:hyperlink w:history="1" w:anchor="_Toc213674178">
        <w:r w:rsidRPr="0025103A">
          <w:rPr>
            <w:rStyle w:val="Hyperlink"/>
            <w:noProof/>
            <w:lang w:val="en-CA"/>
          </w:rPr>
          <w:t>4.1</w:t>
        </w:r>
        <w:r>
          <w:rPr>
            <w:rFonts w:eastAsiaTheme="minorEastAsia" w:cstheme="minorBidi"/>
            <w:iCs w:val="0"/>
            <w:noProof/>
            <w:color w:val="auto"/>
            <w:kern w:val="2"/>
            <w:szCs w:val="24"/>
            <w:lang w:val="en-CA" w:eastAsia="en-CA"/>
            <w14:ligatures w14:val="standardContextual"/>
          </w:rPr>
          <w:tab/>
        </w:r>
        <w:r w:rsidRPr="0025103A">
          <w:rPr>
            <w:rStyle w:val="Hyperlink"/>
            <w:noProof/>
            <w:lang w:val="en-CA"/>
          </w:rPr>
          <w:t>Service Levels and 10-Year Capital Costs for D.C. Calculation</w:t>
        </w:r>
        <w:r>
          <w:rPr>
            <w:noProof/>
            <w:webHidden/>
          </w:rPr>
          <w:tab/>
        </w:r>
        <w:r>
          <w:rPr>
            <w:noProof/>
            <w:webHidden/>
          </w:rPr>
          <w:fldChar w:fldCharType="begin"/>
        </w:r>
        <w:r>
          <w:rPr>
            <w:noProof/>
            <w:webHidden/>
          </w:rPr>
          <w:instrText xml:space="preserve"> PAGEREF _Toc213674178 \h </w:instrText>
        </w:r>
        <w:r>
          <w:rPr>
            <w:noProof/>
            <w:webHidden/>
          </w:rPr>
        </w:r>
        <w:r>
          <w:rPr>
            <w:noProof/>
            <w:webHidden/>
          </w:rPr>
          <w:fldChar w:fldCharType="separate"/>
        </w:r>
        <w:r w:rsidR="005C29E7">
          <w:rPr>
            <w:noProof/>
            <w:webHidden/>
          </w:rPr>
          <w:t>12</w:t>
        </w:r>
        <w:r>
          <w:rPr>
            <w:noProof/>
            <w:webHidden/>
          </w:rPr>
          <w:fldChar w:fldCharType="end"/>
        </w:r>
      </w:hyperlink>
    </w:p>
    <w:p w:rsidR="00872A47" w:rsidRDefault="00872A47" w14:paraId="250DD38F" w14:textId="544C1E36">
      <w:pPr>
        <w:pStyle w:val="TOC2"/>
        <w:tabs>
          <w:tab w:val="left" w:pos="1440"/>
          <w:tab w:val="right" w:leader="dot" w:pos="9350"/>
        </w:tabs>
        <w:rPr>
          <w:rFonts w:eastAsiaTheme="minorEastAsia" w:cstheme="minorBidi"/>
          <w:iCs w:val="0"/>
          <w:noProof/>
          <w:color w:val="auto"/>
          <w:kern w:val="2"/>
          <w:szCs w:val="24"/>
          <w:lang w:val="en-CA" w:eastAsia="en-CA"/>
          <w14:ligatures w14:val="standardContextual"/>
        </w:rPr>
      </w:pPr>
      <w:hyperlink w:history="1" w:anchor="_Toc213674179">
        <w:r w:rsidRPr="0025103A">
          <w:rPr>
            <w:rStyle w:val="Hyperlink"/>
            <w:noProof/>
            <w:lang w:val="en-CA"/>
          </w:rPr>
          <w:t>4.2</w:t>
        </w:r>
        <w:r>
          <w:rPr>
            <w:rFonts w:eastAsiaTheme="minorEastAsia" w:cstheme="minorBidi"/>
            <w:iCs w:val="0"/>
            <w:noProof/>
            <w:color w:val="auto"/>
            <w:kern w:val="2"/>
            <w:szCs w:val="24"/>
            <w:lang w:val="en-CA" w:eastAsia="en-CA"/>
            <w14:ligatures w14:val="standardContextual"/>
          </w:rPr>
          <w:tab/>
        </w:r>
        <w:r w:rsidRPr="0025103A">
          <w:rPr>
            <w:rStyle w:val="Hyperlink"/>
            <w:noProof/>
            <w:lang w:val="en-CA"/>
          </w:rPr>
          <w:t>D.C. By-law Revised Schedule of Charges</w:t>
        </w:r>
        <w:r>
          <w:rPr>
            <w:noProof/>
            <w:webHidden/>
          </w:rPr>
          <w:tab/>
        </w:r>
        <w:r>
          <w:rPr>
            <w:noProof/>
            <w:webHidden/>
          </w:rPr>
          <w:fldChar w:fldCharType="begin"/>
        </w:r>
        <w:r>
          <w:rPr>
            <w:noProof/>
            <w:webHidden/>
          </w:rPr>
          <w:instrText xml:space="preserve"> PAGEREF _Toc213674179 \h </w:instrText>
        </w:r>
        <w:r>
          <w:rPr>
            <w:noProof/>
            <w:webHidden/>
          </w:rPr>
        </w:r>
        <w:r>
          <w:rPr>
            <w:noProof/>
            <w:webHidden/>
          </w:rPr>
          <w:fldChar w:fldCharType="separate"/>
        </w:r>
        <w:r w:rsidR="005C29E7">
          <w:rPr>
            <w:noProof/>
            <w:webHidden/>
          </w:rPr>
          <w:t>18</w:t>
        </w:r>
        <w:r>
          <w:rPr>
            <w:noProof/>
            <w:webHidden/>
          </w:rPr>
          <w:fldChar w:fldCharType="end"/>
        </w:r>
      </w:hyperlink>
    </w:p>
    <w:p w:rsidR="00872A47" w:rsidRDefault="00872A47" w14:paraId="1E79DAEF" w14:textId="537A5D61">
      <w:pPr>
        <w:pStyle w:val="TOC3"/>
        <w:tabs>
          <w:tab w:val="left" w:pos="2304"/>
          <w:tab w:val="right" w:leader="dot" w:pos="9350"/>
        </w:tabs>
        <w:rPr>
          <w:rFonts w:eastAsiaTheme="minorEastAsia" w:cstheme="minorBidi"/>
          <w:noProof/>
          <w:color w:val="auto"/>
          <w:kern w:val="2"/>
          <w:szCs w:val="24"/>
          <w:lang w:val="en-CA" w:eastAsia="en-CA"/>
          <w14:ligatures w14:val="standardContextual"/>
        </w:rPr>
      </w:pPr>
      <w:hyperlink w:history="1" w:anchor="_Toc213674180">
        <w:r w:rsidRPr="0025103A">
          <w:rPr>
            <w:rStyle w:val="Hyperlink"/>
            <w:noProof/>
            <w:lang w:val="en-CA"/>
          </w:rPr>
          <w:t>4.2.1</w:t>
        </w:r>
        <w:r>
          <w:rPr>
            <w:rFonts w:eastAsiaTheme="minorEastAsia" w:cstheme="minorBidi"/>
            <w:noProof/>
            <w:color w:val="auto"/>
            <w:kern w:val="2"/>
            <w:szCs w:val="24"/>
            <w:lang w:val="en-CA" w:eastAsia="en-CA"/>
            <w14:ligatures w14:val="standardContextual"/>
          </w:rPr>
          <w:tab/>
        </w:r>
        <w:r w:rsidRPr="0025103A">
          <w:rPr>
            <w:rStyle w:val="Hyperlink"/>
            <w:noProof/>
            <w:lang w:val="en-CA"/>
          </w:rPr>
          <w:t>Updated D.C. Calculation (2023$)</w:t>
        </w:r>
        <w:r>
          <w:rPr>
            <w:noProof/>
            <w:webHidden/>
          </w:rPr>
          <w:tab/>
        </w:r>
        <w:r>
          <w:rPr>
            <w:noProof/>
            <w:webHidden/>
          </w:rPr>
          <w:fldChar w:fldCharType="begin"/>
        </w:r>
        <w:r>
          <w:rPr>
            <w:noProof/>
            <w:webHidden/>
          </w:rPr>
          <w:instrText xml:space="preserve"> PAGEREF _Toc213674180 \h </w:instrText>
        </w:r>
        <w:r>
          <w:rPr>
            <w:noProof/>
            <w:webHidden/>
          </w:rPr>
        </w:r>
        <w:r>
          <w:rPr>
            <w:noProof/>
            <w:webHidden/>
          </w:rPr>
          <w:fldChar w:fldCharType="separate"/>
        </w:r>
        <w:r w:rsidR="005C29E7">
          <w:rPr>
            <w:noProof/>
            <w:webHidden/>
          </w:rPr>
          <w:t>18</w:t>
        </w:r>
        <w:r>
          <w:rPr>
            <w:noProof/>
            <w:webHidden/>
          </w:rPr>
          <w:fldChar w:fldCharType="end"/>
        </w:r>
      </w:hyperlink>
    </w:p>
    <w:p w:rsidR="00872A47" w:rsidRDefault="00872A47" w14:paraId="43D0CF53" w14:textId="4AB87E32">
      <w:pPr>
        <w:pStyle w:val="TOC3"/>
        <w:tabs>
          <w:tab w:val="left" w:pos="2304"/>
          <w:tab w:val="right" w:leader="dot" w:pos="9350"/>
        </w:tabs>
        <w:rPr>
          <w:rFonts w:eastAsiaTheme="minorEastAsia" w:cstheme="minorBidi"/>
          <w:noProof/>
          <w:color w:val="auto"/>
          <w:kern w:val="2"/>
          <w:szCs w:val="24"/>
          <w:lang w:val="en-CA" w:eastAsia="en-CA"/>
          <w14:ligatures w14:val="standardContextual"/>
        </w:rPr>
      </w:pPr>
      <w:hyperlink w:history="1" w:anchor="_Toc213674181">
        <w:r w:rsidRPr="0025103A">
          <w:rPr>
            <w:rStyle w:val="Hyperlink"/>
            <w:noProof/>
            <w:lang w:val="en-CA"/>
          </w:rPr>
          <w:t>4.2.2</w:t>
        </w:r>
        <w:r>
          <w:rPr>
            <w:rFonts w:eastAsiaTheme="minorEastAsia" w:cstheme="minorBidi"/>
            <w:noProof/>
            <w:color w:val="auto"/>
            <w:kern w:val="2"/>
            <w:szCs w:val="24"/>
            <w:lang w:val="en-CA" w:eastAsia="en-CA"/>
            <w14:ligatures w14:val="standardContextual"/>
          </w:rPr>
          <w:tab/>
        </w:r>
        <w:r w:rsidRPr="0025103A">
          <w:rPr>
            <w:rStyle w:val="Hyperlink"/>
            <w:noProof/>
            <w:lang w:val="en-CA"/>
          </w:rPr>
          <w:t>Revised D.C. Rates (2023$ and 2025$)</w:t>
        </w:r>
        <w:r>
          <w:rPr>
            <w:noProof/>
            <w:webHidden/>
          </w:rPr>
          <w:tab/>
        </w:r>
        <w:r>
          <w:rPr>
            <w:noProof/>
            <w:webHidden/>
          </w:rPr>
          <w:fldChar w:fldCharType="begin"/>
        </w:r>
        <w:r>
          <w:rPr>
            <w:noProof/>
            <w:webHidden/>
          </w:rPr>
          <w:instrText xml:space="preserve"> PAGEREF _Toc213674181 \h </w:instrText>
        </w:r>
        <w:r>
          <w:rPr>
            <w:noProof/>
            <w:webHidden/>
          </w:rPr>
        </w:r>
        <w:r>
          <w:rPr>
            <w:noProof/>
            <w:webHidden/>
          </w:rPr>
          <w:fldChar w:fldCharType="separate"/>
        </w:r>
        <w:r w:rsidR="005C29E7">
          <w:rPr>
            <w:noProof/>
            <w:webHidden/>
          </w:rPr>
          <w:t>19</w:t>
        </w:r>
        <w:r>
          <w:rPr>
            <w:noProof/>
            <w:webHidden/>
          </w:rPr>
          <w:fldChar w:fldCharType="end"/>
        </w:r>
      </w:hyperlink>
    </w:p>
    <w:p w:rsidR="00872A47" w:rsidRDefault="00872A47" w14:paraId="3CAE8E73" w14:textId="56E66F1B">
      <w:pPr>
        <w:pStyle w:val="TOC1"/>
        <w:rPr>
          <w:rFonts w:eastAsiaTheme="minorEastAsia" w:cstheme="minorBidi"/>
          <w:b w:val="0"/>
          <w:bCs w:val="0"/>
          <w:noProof/>
          <w:color w:val="auto"/>
          <w:kern w:val="2"/>
          <w:szCs w:val="24"/>
          <w:lang w:val="en-CA" w:eastAsia="en-CA"/>
          <w14:ligatures w14:val="standardContextual"/>
        </w:rPr>
      </w:pPr>
      <w:hyperlink w:history="1" w:anchor="_Toc213674182">
        <w:r w:rsidRPr="0025103A">
          <w:rPr>
            <w:rStyle w:val="Hyperlink"/>
            <w:noProof/>
            <w:lang w:val="en-CA"/>
          </w:rPr>
          <w:t>5.</w:t>
        </w:r>
        <w:r>
          <w:rPr>
            <w:rFonts w:eastAsiaTheme="minorEastAsia" w:cstheme="minorBidi"/>
            <w:b w:val="0"/>
            <w:bCs w:val="0"/>
            <w:noProof/>
            <w:color w:val="auto"/>
            <w:kern w:val="2"/>
            <w:szCs w:val="24"/>
            <w:lang w:val="en-CA" w:eastAsia="en-CA"/>
            <w14:ligatures w14:val="standardContextual"/>
          </w:rPr>
          <w:tab/>
        </w:r>
        <w:r w:rsidRPr="0025103A">
          <w:rPr>
            <w:rStyle w:val="Hyperlink"/>
            <w:noProof/>
            <w:lang w:val="en-CA"/>
          </w:rPr>
          <w:t>Updates to the D.C. By-law</w:t>
        </w:r>
        <w:r>
          <w:rPr>
            <w:noProof/>
            <w:webHidden/>
          </w:rPr>
          <w:tab/>
        </w:r>
        <w:r>
          <w:rPr>
            <w:noProof/>
            <w:webHidden/>
          </w:rPr>
          <w:fldChar w:fldCharType="begin"/>
        </w:r>
        <w:r>
          <w:rPr>
            <w:noProof/>
            <w:webHidden/>
          </w:rPr>
          <w:instrText xml:space="preserve"> PAGEREF _Toc213674182 \h </w:instrText>
        </w:r>
        <w:r>
          <w:rPr>
            <w:noProof/>
            <w:webHidden/>
          </w:rPr>
        </w:r>
        <w:r>
          <w:rPr>
            <w:noProof/>
            <w:webHidden/>
          </w:rPr>
          <w:fldChar w:fldCharType="separate"/>
        </w:r>
        <w:r w:rsidR="005C29E7">
          <w:rPr>
            <w:noProof/>
            <w:webHidden/>
          </w:rPr>
          <w:t>25</w:t>
        </w:r>
        <w:r>
          <w:rPr>
            <w:noProof/>
            <w:webHidden/>
          </w:rPr>
          <w:fldChar w:fldCharType="end"/>
        </w:r>
      </w:hyperlink>
    </w:p>
    <w:p w:rsidR="00872A47" w:rsidRDefault="00872A47" w14:paraId="0F9BAFD1" w14:textId="1F1E3EDB">
      <w:pPr>
        <w:pStyle w:val="TOC1"/>
        <w:rPr>
          <w:rFonts w:eastAsiaTheme="minorEastAsia" w:cstheme="minorBidi"/>
          <w:b w:val="0"/>
          <w:bCs w:val="0"/>
          <w:noProof/>
          <w:color w:val="auto"/>
          <w:kern w:val="2"/>
          <w:szCs w:val="24"/>
          <w:lang w:val="en-CA" w:eastAsia="en-CA"/>
          <w14:ligatures w14:val="standardContextual"/>
        </w:rPr>
      </w:pPr>
      <w:hyperlink w:history="1" w:anchor="_Toc213674183">
        <w:r w:rsidRPr="0025103A">
          <w:rPr>
            <w:rStyle w:val="Hyperlink"/>
            <w:noProof/>
            <w:lang w:val="en-CA"/>
          </w:rPr>
          <w:t>6.</w:t>
        </w:r>
        <w:r>
          <w:rPr>
            <w:rFonts w:eastAsiaTheme="minorEastAsia" w:cstheme="minorBidi"/>
            <w:b w:val="0"/>
            <w:bCs w:val="0"/>
            <w:noProof/>
            <w:color w:val="auto"/>
            <w:kern w:val="2"/>
            <w:szCs w:val="24"/>
            <w:lang w:val="en-CA" w:eastAsia="en-CA"/>
            <w14:ligatures w14:val="standardContextual"/>
          </w:rPr>
          <w:tab/>
        </w:r>
        <w:r w:rsidRPr="0025103A">
          <w:rPr>
            <w:rStyle w:val="Hyperlink"/>
            <w:noProof/>
            <w:lang w:val="en-CA"/>
          </w:rPr>
          <w:t>Recommendations</w:t>
        </w:r>
        <w:r>
          <w:rPr>
            <w:noProof/>
            <w:webHidden/>
          </w:rPr>
          <w:tab/>
        </w:r>
        <w:r>
          <w:rPr>
            <w:noProof/>
            <w:webHidden/>
          </w:rPr>
          <w:fldChar w:fldCharType="begin"/>
        </w:r>
        <w:r>
          <w:rPr>
            <w:noProof/>
            <w:webHidden/>
          </w:rPr>
          <w:instrText xml:space="preserve"> PAGEREF _Toc213674183 \h </w:instrText>
        </w:r>
        <w:r>
          <w:rPr>
            <w:noProof/>
            <w:webHidden/>
          </w:rPr>
        </w:r>
        <w:r>
          <w:rPr>
            <w:noProof/>
            <w:webHidden/>
          </w:rPr>
          <w:fldChar w:fldCharType="separate"/>
        </w:r>
        <w:r w:rsidR="005C29E7">
          <w:rPr>
            <w:noProof/>
            <w:webHidden/>
          </w:rPr>
          <w:t>27</w:t>
        </w:r>
        <w:r>
          <w:rPr>
            <w:noProof/>
            <w:webHidden/>
          </w:rPr>
          <w:fldChar w:fldCharType="end"/>
        </w:r>
      </w:hyperlink>
    </w:p>
    <w:p w:rsidR="00872A47" w:rsidRDefault="00872A47" w14:paraId="62B496D4" w14:textId="4529F848">
      <w:pPr>
        <w:pStyle w:val="TOC1"/>
        <w:rPr>
          <w:rFonts w:eastAsiaTheme="minorEastAsia" w:cstheme="minorBidi"/>
          <w:b w:val="0"/>
          <w:bCs w:val="0"/>
          <w:noProof/>
          <w:color w:val="auto"/>
          <w:kern w:val="2"/>
          <w:szCs w:val="24"/>
          <w:lang w:val="en-CA" w:eastAsia="en-CA"/>
          <w14:ligatures w14:val="standardContextual"/>
        </w:rPr>
      </w:pPr>
      <w:hyperlink w:history="1" w:anchor="_Toc213674184">
        <w:r w:rsidRPr="0025103A">
          <w:rPr>
            <w:rStyle w:val="Hyperlink"/>
            <w:noProof/>
            <w:lang w:val="en-CA"/>
          </w:rPr>
          <w:t>Appendix A  Existing Policies Under By-law 24-042</w:t>
        </w:r>
        <w:r>
          <w:rPr>
            <w:noProof/>
            <w:webHidden/>
          </w:rPr>
          <w:tab/>
        </w:r>
        <w:r w:rsidR="00DB7760">
          <w:rPr>
            <w:noProof/>
            <w:webHidden/>
          </w:rPr>
          <w:t>A-</w:t>
        </w:r>
        <w:r>
          <w:rPr>
            <w:noProof/>
            <w:webHidden/>
          </w:rPr>
          <w:fldChar w:fldCharType="begin"/>
        </w:r>
        <w:r>
          <w:rPr>
            <w:noProof/>
            <w:webHidden/>
          </w:rPr>
          <w:instrText xml:space="preserve"> PAGEREF _Toc213674184 \h </w:instrText>
        </w:r>
        <w:r>
          <w:rPr>
            <w:noProof/>
            <w:webHidden/>
          </w:rPr>
        </w:r>
        <w:r>
          <w:rPr>
            <w:noProof/>
            <w:webHidden/>
          </w:rPr>
          <w:fldChar w:fldCharType="separate"/>
        </w:r>
        <w:r w:rsidR="005C29E7">
          <w:rPr>
            <w:noProof/>
            <w:webHidden/>
          </w:rPr>
          <w:t>1</w:t>
        </w:r>
        <w:r>
          <w:rPr>
            <w:noProof/>
            <w:webHidden/>
          </w:rPr>
          <w:fldChar w:fldCharType="end"/>
        </w:r>
      </w:hyperlink>
    </w:p>
    <w:p w:rsidR="00872A47" w:rsidRDefault="00872A47" w14:paraId="450B1BCE" w14:textId="4585C8A3">
      <w:pPr>
        <w:pStyle w:val="TOC1"/>
        <w:rPr>
          <w:rFonts w:eastAsiaTheme="minorEastAsia" w:cstheme="minorBidi"/>
          <w:b w:val="0"/>
          <w:bCs w:val="0"/>
          <w:noProof/>
          <w:color w:val="auto"/>
          <w:kern w:val="2"/>
          <w:szCs w:val="24"/>
          <w:lang w:val="en-CA" w:eastAsia="en-CA"/>
          <w14:ligatures w14:val="standardContextual"/>
        </w:rPr>
      </w:pPr>
      <w:hyperlink w:history="1" w:anchor="_Toc213674185">
        <w:r w:rsidRPr="0025103A">
          <w:rPr>
            <w:rStyle w:val="Hyperlink"/>
            <w:noProof/>
            <w:lang w:val="en-CA"/>
          </w:rPr>
          <w:t>Appendix B  Service Standards</w:t>
        </w:r>
        <w:r>
          <w:rPr>
            <w:noProof/>
            <w:webHidden/>
          </w:rPr>
          <w:tab/>
        </w:r>
        <w:r w:rsidR="00DB7760">
          <w:rPr>
            <w:noProof/>
            <w:webHidden/>
          </w:rPr>
          <w:t>B-</w:t>
        </w:r>
        <w:r>
          <w:rPr>
            <w:noProof/>
            <w:webHidden/>
          </w:rPr>
          <w:fldChar w:fldCharType="begin"/>
        </w:r>
        <w:r>
          <w:rPr>
            <w:noProof/>
            <w:webHidden/>
          </w:rPr>
          <w:instrText xml:space="preserve"> PAGEREF _Toc213674185 \h </w:instrText>
        </w:r>
        <w:r>
          <w:rPr>
            <w:noProof/>
            <w:webHidden/>
          </w:rPr>
        </w:r>
        <w:r>
          <w:rPr>
            <w:noProof/>
            <w:webHidden/>
          </w:rPr>
          <w:fldChar w:fldCharType="separate"/>
        </w:r>
        <w:r w:rsidR="005C29E7">
          <w:rPr>
            <w:noProof/>
            <w:webHidden/>
          </w:rPr>
          <w:t>1</w:t>
        </w:r>
        <w:r>
          <w:rPr>
            <w:noProof/>
            <w:webHidden/>
          </w:rPr>
          <w:fldChar w:fldCharType="end"/>
        </w:r>
      </w:hyperlink>
    </w:p>
    <w:p w:rsidRPr="00B34BDC" w:rsidR="00872A47" w:rsidP="00B34BDC" w:rsidRDefault="00872A47" w14:paraId="59949D8F" w14:textId="1509246A">
      <w:pPr>
        <w:pStyle w:val="TOC1"/>
        <w:rPr>
          <w:rFonts w:eastAsiaTheme="minorEastAsia" w:cstheme="minorBidi"/>
          <w:b w:val="0"/>
          <w:bCs w:val="0"/>
          <w:noProof/>
          <w:color w:val="auto"/>
          <w:kern w:val="2"/>
          <w:szCs w:val="24"/>
          <w:lang w:val="en-CA" w:eastAsia="en-CA"/>
          <w14:ligatures w14:val="standardContextual"/>
        </w:rPr>
      </w:pPr>
      <w:hyperlink w:history="1" w:anchor="_Toc213674186">
        <w:r w:rsidRPr="0025103A">
          <w:rPr>
            <w:rStyle w:val="Hyperlink"/>
            <w:noProof/>
            <w:lang w:val="en-CA"/>
          </w:rPr>
          <w:t>Appendix C  Implications of Bill 60</w:t>
        </w:r>
        <w:r>
          <w:rPr>
            <w:noProof/>
            <w:webHidden/>
          </w:rPr>
          <w:tab/>
        </w:r>
        <w:r w:rsidR="00DB7760">
          <w:rPr>
            <w:noProof/>
            <w:webHidden/>
          </w:rPr>
          <w:t>C-</w:t>
        </w:r>
        <w:r>
          <w:rPr>
            <w:noProof/>
            <w:webHidden/>
          </w:rPr>
          <w:fldChar w:fldCharType="begin"/>
        </w:r>
        <w:r>
          <w:rPr>
            <w:noProof/>
            <w:webHidden/>
          </w:rPr>
          <w:instrText xml:space="preserve"> PAGEREF _Toc213674186 \h </w:instrText>
        </w:r>
        <w:r>
          <w:rPr>
            <w:noProof/>
            <w:webHidden/>
          </w:rPr>
        </w:r>
        <w:r>
          <w:rPr>
            <w:noProof/>
            <w:webHidden/>
          </w:rPr>
          <w:fldChar w:fldCharType="separate"/>
        </w:r>
        <w:r w:rsidR="005C29E7">
          <w:rPr>
            <w:noProof/>
            <w:webHidden/>
          </w:rPr>
          <w:t>1</w:t>
        </w:r>
        <w:r>
          <w:rPr>
            <w:noProof/>
            <w:webHidden/>
          </w:rPr>
          <w:fldChar w:fldCharType="end"/>
        </w:r>
      </w:hyperlink>
    </w:p>
    <w:p w:rsidR="00872A47" w:rsidRDefault="00872A47" w14:paraId="356D6B04" w14:textId="52123E9D">
      <w:pPr>
        <w:pStyle w:val="TOC1"/>
        <w:rPr>
          <w:rFonts w:eastAsiaTheme="minorEastAsia" w:cstheme="minorBidi"/>
          <w:b w:val="0"/>
          <w:bCs w:val="0"/>
          <w:noProof/>
          <w:color w:val="auto"/>
          <w:kern w:val="2"/>
          <w:szCs w:val="24"/>
          <w:lang w:val="en-CA" w:eastAsia="en-CA"/>
          <w14:ligatures w14:val="standardContextual"/>
        </w:rPr>
      </w:pPr>
      <w:hyperlink w:history="1" w:anchor="_Toc213674197">
        <w:r w:rsidRPr="0025103A">
          <w:rPr>
            <w:rStyle w:val="Hyperlink"/>
            <w:noProof/>
            <w:lang w:val="en-CA"/>
          </w:rPr>
          <w:t>Appendix D  Draft Amending Development Charge By-law</w:t>
        </w:r>
        <w:r>
          <w:rPr>
            <w:noProof/>
            <w:webHidden/>
          </w:rPr>
          <w:tab/>
        </w:r>
        <w:r w:rsidR="00DB7760">
          <w:rPr>
            <w:noProof/>
            <w:webHidden/>
          </w:rPr>
          <w:t>D-</w:t>
        </w:r>
        <w:r>
          <w:rPr>
            <w:noProof/>
            <w:webHidden/>
          </w:rPr>
          <w:fldChar w:fldCharType="begin"/>
        </w:r>
        <w:r>
          <w:rPr>
            <w:noProof/>
            <w:webHidden/>
          </w:rPr>
          <w:instrText xml:space="preserve"> PAGEREF _Toc213674197 \h </w:instrText>
        </w:r>
        <w:r>
          <w:rPr>
            <w:noProof/>
            <w:webHidden/>
          </w:rPr>
        </w:r>
        <w:r>
          <w:rPr>
            <w:noProof/>
            <w:webHidden/>
          </w:rPr>
          <w:fldChar w:fldCharType="separate"/>
        </w:r>
        <w:r w:rsidR="005C29E7">
          <w:rPr>
            <w:noProof/>
            <w:webHidden/>
          </w:rPr>
          <w:t>1</w:t>
        </w:r>
        <w:r>
          <w:rPr>
            <w:noProof/>
            <w:webHidden/>
          </w:rPr>
          <w:fldChar w:fldCharType="end"/>
        </w:r>
      </w:hyperlink>
    </w:p>
    <w:p w:rsidRPr="0015322B" w:rsidR="003C6044" w:rsidP="003C6044" w:rsidRDefault="00C03B0D" w14:paraId="6FE61A4D" w14:textId="045AF781">
      <w:pPr>
        <w:jc w:val="center"/>
        <w:rPr>
          <w:lang w:val="en-CA"/>
        </w:rPr>
      </w:pPr>
      <w:r w:rsidRPr="0015322B">
        <w:rPr>
          <w:rFonts w:asciiTheme="minorHAnsi" w:hAnsiTheme="minorHAnsi" w:cstheme="minorHAnsi"/>
          <w:bCs/>
          <w:szCs w:val="20"/>
          <w:lang w:val="en-CA"/>
        </w:rPr>
        <w:fldChar w:fldCharType="end"/>
      </w:r>
    </w:p>
    <w:p w:rsidR="003C6044" w:rsidP="00B34BDC" w:rsidRDefault="00DB7760" w14:paraId="513F5BAD" w14:textId="303DEAB9">
      <w:pPr>
        <w:tabs>
          <w:tab w:val="left" w:pos="6705"/>
        </w:tabs>
        <w:rPr>
          <w:lang w:val="en-CA"/>
        </w:rPr>
      </w:pPr>
      <w:r>
        <w:rPr>
          <w:lang w:val="en-CA"/>
        </w:rPr>
        <w:tab/>
      </w:r>
    </w:p>
    <w:p w:rsidRPr="00DB7760" w:rsidR="00DB7760" w:rsidP="00B34BDC" w:rsidRDefault="00DB7760" w14:paraId="698BE685" w14:textId="06ACDA43">
      <w:pPr>
        <w:tabs>
          <w:tab w:val="left" w:pos="6705"/>
        </w:tabs>
        <w:rPr>
          <w:lang w:val="en-CA"/>
        </w:rPr>
        <w:sectPr w:rsidRPr="00DB7760" w:rsidR="00DB7760" w:rsidSect="00D27BBC">
          <w:headerReference w:type="default" r:id="rId15"/>
          <w:footerReference w:type="default" r:id="rId16"/>
          <w:headerReference w:type="first" r:id="rId17"/>
          <w:footerReference w:type="first" r:id="rId18"/>
          <w:footnotePr>
            <w:numRestart w:val="eachPage"/>
          </w:footnotePr>
          <w:pgSz w:w="12240" w:h="15840" w:orient="portrait" w:code="1"/>
          <w:pgMar w:top="1440" w:right="1440" w:bottom="1440" w:left="1440" w:header="432" w:footer="619" w:gutter="0"/>
          <w:cols w:space="708"/>
          <w:titlePg/>
          <w:docGrid w:linePitch="360"/>
        </w:sectPr>
      </w:pPr>
      <w:r>
        <w:rPr>
          <w:lang w:val="en-CA"/>
        </w:rPr>
        <w:tab/>
      </w:r>
    </w:p>
    <w:p w:rsidRPr="0015322B" w:rsidR="00EB485A" w:rsidP="000362A5" w:rsidRDefault="00D746ED" w14:paraId="3717618C" w14:textId="77777777">
      <w:pPr>
        <w:pStyle w:val="MinorTitle"/>
        <w:jc w:val="left"/>
        <w:rPr>
          <w:lang w:val="en-CA"/>
        </w:rPr>
      </w:pPr>
      <w:r w:rsidRPr="0015322B">
        <w:rPr>
          <w:lang w:val="en-CA"/>
        </w:rPr>
        <w:t>List of Acronyms and Abbreviations</w:t>
      </w:r>
    </w:p>
    <w:p w:rsidRPr="0015322B" w:rsidR="00EB485A" w:rsidP="00205AAF" w:rsidRDefault="00D61F31" w14:paraId="1705FA8C" w14:textId="77777777">
      <w:pPr>
        <w:pStyle w:val="BodyTextss"/>
        <w:tabs>
          <w:tab w:val="left" w:pos="2160"/>
        </w:tabs>
        <w:rPr>
          <w:b/>
          <w:lang w:val="en-CA"/>
        </w:rPr>
      </w:pPr>
      <w:r w:rsidRPr="0015322B">
        <w:rPr>
          <w:b/>
          <w:lang w:val="en-CA"/>
        </w:rPr>
        <w:t>Acronym</w:t>
      </w:r>
      <w:r w:rsidRPr="0015322B">
        <w:rPr>
          <w:b/>
          <w:lang w:val="en-CA"/>
        </w:rPr>
        <w:tab/>
      </w:r>
      <w:r w:rsidRPr="0015322B">
        <w:rPr>
          <w:b/>
          <w:lang w:val="en-CA"/>
        </w:rPr>
        <w:t>Full Description of Acronym</w:t>
      </w:r>
    </w:p>
    <w:p w:rsidR="003D724E" w:rsidP="00D05DC7" w:rsidRDefault="003D724E" w14:paraId="4AB751A8" w14:textId="0E1982CD">
      <w:pPr>
        <w:rPr>
          <w:lang w:val="en-CA"/>
        </w:rPr>
      </w:pPr>
      <w:r>
        <w:rPr>
          <w:lang w:val="en-CA"/>
        </w:rPr>
        <w:t>B.T.E.</w:t>
      </w:r>
      <w:r>
        <w:rPr>
          <w:lang w:val="en-CA"/>
        </w:rPr>
        <w:tab/>
      </w:r>
      <w:r>
        <w:rPr>
          <w:lang w:val="en-CA"/>
        </w:rPr>
        <w:tab/>
      </w:r>
      <w:r>
        <w:rPr>
          <w:lang w:val="en-CA"/>
        </w:rPr>
        <w:tab/>
      </w:r>
      <w:r>
        <w:rPr>
          <w:lang w:val="en-CA"/>
        </w:rPr>
        <w:tab/>
      </w:r>
      <w:r>
        <w:rPr>
          <w:lang w:val="en-CA"/>
        </w:rPr>
        <w:tab/>
      </w:r>
      <w:r>
        <w:rPr>
          <w:lang w:val="en-CA"/>
        </w:rPr>
        <w:t>Benefit to existing</w:t>
      </w:r>
    </w:p>
    <w:p w:rsidR="003D724E" w:rsidP="00D05DC7" w:rsidRDefault="003D724E" w14:paraId="0D4D5BCC" w14:textId="77777777">
      <w:pPr>
        <w:rPr>
          <w:lang w:val="en-CA"/>
        </w:rPr>
      </w:pPr>
    </w:p>
    <w:p w:rsidR="00000BC1" w:rsidP="00D05DC7" w:rsidRDefault="00000BC1" w14:paraId="7C4E6965" w14:textId="331F16B8">
      <w:pPr>
        <w:rPr>
          <w:lang w:val="en-CA"/>
        </w:rPr>
      </w:pPr>
      <w:r>
        <w:rPr>
          <w:lang w:val="en-CA"/>
        </w:rPr>
        <w:t>CSRIF</w:t>
      </w:r>
      <w:r>
        <w:rPr>
          <w:lang w:val="en-CA"/>
        </w:rPr>
        <w:tab/>
      </w:r>
      <w:r>
        <w:rPr>
          <w:lang w:val="en-CA"/>
        </w:rPr>
        <w:tab/>
      </w:r>
      <w:r>
        <w:rPr>
          <w:lang w:val="en-CA"/>
        </w:rPr>
        <w:tab/>
      </w:r>
      <w:r>
        <w:rPr>
          <w:lang w:val="en-CA"/>
        </w:rPr>
        <w:tab/>
      </w:r>
      <w:r>
        <w:rPr>
          <w:lang w:val="en-CA"/>
        </w:rPr>
        <w:t>Community Sport and Recreation Infrastructure Fund</w:t>
      </w:r>
    </w:p>
    <w:p w:rsidR="00000BC1" w:rsidP="00D05DC7" w:rsidRDefault="00000BC1" w14:paraId="01AF16A4" w14:textId="77777777">
      <w:pPr>
        <w:rPr>
          <w:lang w:val="en-CA"/>
        </w:rPr>
      </w:pPr>
    </w:p>
    <w:p w:rsidR="00000BC1" w:rsidP="00D05DC7" w:rsidRDefault="00B6624E" w14:paraId="3D53B303" w14:textId="2CC44C47">
      <w:pPr>
        <w:rPr>
          <w:lang w:val="en-CA"/>
        </w:rPr>
      </w:pPr>
      <w:r>
        <w:rPr>
          <w:lang w:val="en-CA"/>
        </w:rPr>
        <w:t>D.C.</w:t>
      </w:r>
      <w:r>
        <w:rPr>
          <w:lang w:val="en-CA"/>
        </w:rPr>
        <w:tab/>
      </w:r>
      <w:r>
        <w:rPr>
          <w:lang w:val="en-CA"/>
        </w:rPr>
        <w:tab/>
      </w:r>
      <w:r>
        <w:rPr>
          <w:lang w:val="en-CA"/>
        </w:rPr>
        <w:tab/>
      </w:r>
      <w:r>
        <w:rPr>
          <w:lang w:val="en-CA"/>
        </w:rPr>
        <w:tab/>
      </w:r>
      <w:r>
        <w:rPr>
          <w:lang w:val="en-CA"/>
        </w:rPr>
        <w:tab/>
      </w:r>
      <w:r>
        <w:rPr>
          <w:lang w:val="en-CA"/>
        </w:rPr>
        <w:t>Development Charge</w:t>
      </w:r>
    </w:p>
    <w:p w:rsidR="00B6624E" w:rsidP="00D05DC7" w:rsidRDefault="00B6624E" w14:paraId="7B39E426" w14:textId="4DE410E3">
      <w:pPr>
        <w:rPr>
          <w:lang w:val="en-CA"/>
        </w:rPr>
      </w:pPr>
    </w:p>
    <w:p w:rsidRPr="0015322B" w:rsidR="00B6624E" w:rsidP="00D05DC7" w:rsidRDefault="00B6624E" w14:paraId="6B0D1450" w14:textId="0C287A0E">
      <w:pPr>
        <w:rPr>
          <w:lang w:val="en-CA"/>
        </w:rPr>
      </w:pPr>
      <w:r>
        <w:rPr>
          <w:lang w:val="en-CA"/>
        </w:rPr>
        <w:t xml:space="preserve">D.C.A. </w:t>
      </w:r>
      <w:r>
        <w:rPr>
          <w:lang w:val="en-CA"/>
        </w:rPr>
        <w:tab/>
      </w:r>
      <w:r>
        <w:rPr>
          <w:lang w:val="en-CA"/>
        </w:rPr>
        <w:tab/>
      </w:r>
      <w:r>
        <w:rPr>
          <w:lang w:val="en-CA"/>
        </w:rPr>
        <w:tab/>
      </w:r>
      <w:r>
        <w:rPr>
          <w:lang w:val="en-CA"/>
        </w:rPr>
        <w:tab/>
      </w:r>
      <w:r>
        <w:rPr>
          <w:lang w:val="en-CA"/>
        </w:rPr>
        <w:t>Development Charges Act</w:t>
      </w:r>
    </w:p>
    <w:p w:rsidR="002B5311" w:rsidP="002B5311" w:rsidRDefault="002B5311" w14:paraId="5D0226F3" w14:textId="77777777">
      <w:pPr>
        <w:rPr>
          <w:lang w:val="en-CA"/>
        </w:rPr>
      </w:pPr>
    </w:p>
    <w:p w:rsidR="00F75931" w:rsidP="002B5311" w:rsidRDefault="00F75931" w14:paraId="096676B2" w14:textId="77777777">
      <w:pPr>
        <w:rPr>
          <w:lang w:val="en-CA"/>
        </w:rPr>
      </w:pPr>
      <w:r>
        <w:rPr>
          <w:lang w:val="en-CA"/>
        </w:rPr>
        <w:t>G.F.A.</w:t>
      </w:r>
      <w:r>
        <w:rPr>
          <w:lang w:val="en-CA"/>
        </w:rPr>
        <w:tab/>
      </w:r>
      <w:r>
        <w:rPr>
          <w:lang w:val="en-CA"/>
        </w:rPr>
        <w:tab/>
      </w:r>
      <w:r>
        <w:rPr>
          <w:lang w:val="en-CA"/>
        </w:rPr>
        <w:tab/>
      </w:r>
      <w:r>
        <w:rPr>
          <w:lang w:val="en-CA"/>
        </w:rPr>
        <w:tab/>
      </w:r>
      <w:r>
        <w:rPr>
          <w:lang w:val="en-CA"/>
        </w:rPr>
        <w:tab/>
      </w:r>
      <w:r>
        <w:rPr>
          <w:lang w:val="en-CA"/>
        </w:rPr>
        <w:t>gross floor area</w:t>
      </w:r>
    </w:p>
    <w:p w:rsidR="00F75931" w:rsidP="002B5311" w:rsidRDefault="00F75931" w14:paraId="06D54108" w14:textId="77777777">
      <w:pPr>
        <w:rPr>
          <w:lang w:val="en-CA"/>
        </w:rPr>
      </w:pPr>
    </w:p>
    <w:p w:rsidR="00F75931" w:rsidP="002B5311" w:rsidRDefault="00F75931" w14:paraId="74700A3B" w14:textId="77777777">
      <w:pPr>
        <w:rPr>
          <w:lang w:val="en-CA"/>
        </w:rPr>
      </w:pPr>
      <w:proofErr w:type="spellStart"/>
      <w:r>
        <w:rPr>
          <w:lang w:val="en-CA"/>
        </w:rPr>
        <w:t>Sq.ft</w:t>
      </w:r>
      <w:proofErr w:type="spellEnd"/>
      <w:r>
        <w:rPr>
          <w:lang w:val="en-CA"/>
        </w:rPr>
        <w:t>.</w:t>
      </w:r>
      <w:r>
        <w:rPr>
          <w:lang w:val="en-CA"/>
        </w:rPr>
        <w:tab/>
      </w:r>
      <w:r>
        <w:rPr>
          <w:lang w:val="en-CA"/>
        </w:rPr>
        <w:tab/>
      </w:r>
      <w:r>
        <w:rPr>
          <w:lang w:val="en-CA"/>
        </w:rPr>
        <w:tab/>
      </w:r>
      <w:r>
        <w:rPr>
          <w:lang w:val="en-CA"/>
        </w:rPr>
        <w:tab/>
      </w:r>
      <w:r>
        <w:rPr>
          <w:lang w:val="en-CA"/>
        </w:rPr>
        <w:tab/>
      </w:r>
      <w:r>
        <w:rPr>
          <w:lang w:val="en-CA"/>
        </w:rPr>
        <w:t>square foot</w:t>
      </w:r>
    </w:p>
    <w:p w:rsidR="00F75931" w:rsidP="002B5311" w:rsidRDefault="00F75931" w14:paraId="5C068AD6" w14:textId="77777777">
      <w:pPr>
        <w:rPr>
          <w:lang w:val="en-CA"/>
        </w:rPr>
      </w:pPr>
    </w:p>
    <w:p w:rsidRPr="0015322B" w:rsidR="00F75931" w:rsidP="002B5311" w:rsidRDefault="00F75931" w14:paraId="7D38C933" w14:textId="34BB4E66">
      <w:pPr>
        <w:rPr>
          <w:lang w:val="en-CA"/>
        </w:rPr>
        <w:sectPr w:rsidRPr="0015322B" w:rsidR="00F75931" w:rsidSect="001A31F5">
          <w:headerReference w:type="default" r:id="rId19"/>
          <w:footerReference w:type="default" r:id="rId20"/>
          <w:headerReference w:type="first" r:id="rId21"/>
          <w:footerReference w:type="first" r:id="rId22"/>
          <w:footnotePr>
            <w:numRestart w:val="eachPage"/>
          </w:footnotePr>
          <w:pgSz w:w="12240" w:h="15840" w:orient="portrait" w:code="1"/>
          <w:pgMar w:top="1440" w:right="1440" w:bottom="1440" w:left="1440" w:header="432" w:footer="619" w:gutter="0"/>
          <w:cols w:space="708"/>
          <w:titlePg/>
          <w:docGrid w:linePitch="360"/>
        </w:sectPr>
      </w:pPr>
      <w:proofErr w:type="spellStart"/>
      <w:r>
        <w:rPr>
          <w:lang w:val="en-CA"/>
        </w:rPr>
        <w:t>Sq.m</w:t>
      </w:r>
      <w:proofErr w:type="spellEnd"/>
      <w:r>
        <w:rPr>
          <w:lang w:val="en-CA"/>
        </w:rPr>
        <w:t>.</w:t>
      </w:r>
      <w:r>
        <w:rPr>
          <w:lang w:val="en-CA"/>
        </w:rPr>
        <w:tab/>
      </w:r>
      <w:r>
        <w:rPr>
          <w:lang w:val="en-CA"/>
        </w:rPr>
        <w:tab/>
      </w:r>
      <w:r>
        <w:rPr>
          <w:lang w:val="en-CA"/>
        </w:rPr>
        <w:tab/>
      </w:r>
      <w:r>
        <w:rPr>
          <w:lang w:val="en-CA"/>
        </w:rPr>
        <w:tab/>
      </w:r>
      <w:r>
        <w:rPr>
          <w:lang w:val="en-CA"/>
        </w:rPr>
        <w:tab/>
      </w:r>
      <w:r>
        <w:rPr>
          <w:lang w:val="en-CA"/>
        </w:rPr>
        <w:t>square metre</w:t>
      </w:r>
    </w:p>
    <w:p w:rsidRPr="0015322B" w:rsidR="00AC3711" w:rsidP="00AC3711" w:rsidRDefault="00AC3711" w14:paraId="0E05ACE5" w14:textId="77777777">
      <w:pPr>
        <w:rPr>
          <w:lang w:val="en-CA"/>
        </w:rPr>
        <w:sectPr w:rsidRPr="0015322B" w:rsidR="00AC3711" w:rsidSect="00931F19">
          <w:headerReference w:type="default" r:id="rId23"/>
          <w:footerReference w:type="default" r:id="rId24"/>
          <w:headerReference w:type="first" r:id="rId25"/>
          <w:footerReference w:type="first" r:id="rId26"/>
          <w:pgSz w:w="12240" w:h="15840" w:orient="portrait" w:code="1"/>
          <w:pgMar w:top="0" w:right="0" w:bottom="0" w:left="0" w:header="0" w:footer="619" w:gutter="0"/>
          <w:cols w:space="708"/>
          <w:titlePg/>
          <w:docGrid w:linePitch="360"/>
        </w:sectPr>
      </w:pPr>
      <w:bookmarkStart w:name="_Toc520822887" w:id="0"/>
      <w:bookmarkStart w:name="_Toc520910932" w:id="1"/>
      <w:bookmarkStart w:name="_Toc520911313" w:id="2"/>
      <w:bookmarkStart w:name="_Toc517273717" w:id="3"/>
      <w:r w:rsidRPr="0015322B">
        <w:rPr>
          <w:noProof/>
          <w:color w:val="FF0000"/>
          <w:lang w:val="en-CA"/>
        </w:rPr>
        <mc:AlternateContent>
          <mc:Choice Requires="wps">
            <w:drawing>
              <wp:inline distT="0" distB="0" distL="0" distR="0" wp14:anchorId="1089321D" wp14:editId="7A54424C">
                <wp:extent cx="7772400" cy="5943600"/>
                <wp:effectExtent l="0" t="0" r="0" b="0"/>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943600"/>
                        </a:xfrm>
                        <a:prstGeom prst="rect">
                          <a:avLst/>
                        </a:prstGeom>
                        <a:noFill/>
                        <a:ln w="9525">
                          <a:noFill/>
                          <a:miter lim="800000"/>
                          <a:headEnd/>
                          <a:tailEnd/>
                        </a:ln>
                      </wps:spPr>
                      <wps:txbx>
                        <w:txbxContent>
                          <w:p w:rsidRPr="0096330A" w:rsidR="002B5311" w:rsidP="0096612E" w:rsidRDefault="002B5311" w14:paraId="6603F571" w14:textId="77777777">
                            <w:pPr>
                              <w:pStyle w:val="Dividers"/>
                            </w:pPr>
                            <w:r>
                              <w:t>Report</w:t>
                            </w:r>
                          </w:p>
                        </w:txbxContent>
                      </wps:txbx>
                      <wps:bodyPr rot="0" vert="horz" wrap="square" lIns="91440" tIns="45720" rIns="91440" bIns="45720" anchor="t" anchorCtr="0">
                        <a:noAutofit/>
                      </wps:bodyPr>
                    </wps:wsp>
                  </a:graphicData>
                </a:graphic>
              </wp:inline>
            </w:drawing>
          </mc:Choice>
          <mc:Fallback>
            <w:pict w14:anchorId="27C3F0B2">
              <v:shape id="_x0000_s1027" style="width:612pt;height:468pt;visibility:visible;mso-wrap-style:square;mso-left-percent:-10001;mso-top-percent:-10001;mso-position-horizontal:absolute;mso-position-horizontal-relative:char;mso-position-vertical:absolute;mso-position-vertical-relative:line;mso-left-percent:-10001;mso-top-percent:-10001;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" w14:anchorId="1089321D">
                <v:textbox>
                  <w:txbxContent>
                    <w:p w:rsidRPr="0096330A" w:rsidR="002B5311" w:rsidP="0096612E" w:rsidRDefault="002B5311" w14:paraId="1A6F17A5" w14:textId="77777777">
                      <w:pPr>
                        <w:pStyle w:val="Dividers"/>
                      </w:pPr>
                      <w:r>
                        <w:t>Report</w:t>
                      </w:r>
                    </w:p>
                  </w:txbxContent>
                </v:textbox>
                <w10:anchorlock/>
              </v:shape>
            </w:pict>
          </mc:Fallback>
        </mc:AlternateContent>
      </w:r>
    </w:p>
    <w:p w:rsidRPr="0015322B" w:rsidR="00C973A6" w:rsidP="006A7162" w:rsidRDefault="004C1A10" w14:paraId="0AC6750F" w14:textId="77777777">
      <w:pPr>
        <w:pStyle w:val="ChapterDividers"/>
        <w:rPr>
          <w:noProof w:val="0"/>
          <w:lang w:val="en-CA"/>
        </w:rPr>
      </w:pPr>
      <w:r w:rsidRPr="0015322B">
        <w:rPr>
          <w:noProof w:val="0"/>
          <w:lang w:val="en-CA"/>
        </w:rPr>
        <w:t>C</w:t>
      </w:r>
      <w:r w:rsidRPr="0015322B" w:rsidR="00A678E0">
        <w:rPr>
          <w:noProof w:val="0"/>
          <w:lang w:val="en-CA"/>
        </w:rPr>
        <w:t>hapter 1</w:t>
      </w:r>
    </w:p>
    <w:bookmarkEnd w:id="0"/>
    <w:bookmarkEnd w:id="1"/>
    <w:bookmarkEnd w:id="2"/>
    <w:p w:rsidRPr="0015322B" w:rsidR="004C1A10" w:rsidP="00C973A6" w:rsidRDefault="00652FE4" w14:paraId="7A8565D6" w14:textId="2902192C">
      <w:pPr>
        <w:pStyle w:val="ChapterDividersTitle"/>
        <w:rPr>
          <w:noProof w:val="0"/>
          <w:lang w:val="en-CA"/>
        </w:rPr>
        <w:sectPr w:rsidRPr="0015322B" w:rsidR="004C1A10" w:rsidSect="00E97CDA">
          <w:headerReference w:type="default" r:id="rId27"/>
          <w:footerReference w:type="default" r:id="rId28"/>
          <w:headerReference w:type="first" r:id="rId29"/>
          <w:footerReference w:type="first" r:id="rId30"/>
          <w:footnotePr>
            <w:numRestart w:val="eachPage"/>
          </w:footnotePr>
          <w:pgSz w:w="12240" w:h="15840" w:orient="portrait" w:code="1"/>
          <w:pgMar w:top="1440" w:right="1440" w:bottom="1440" w:left="1440" w:header="432" w:footer="619" w:gutter="0"/>
          <w:pgNumType w:start="1" w:chapStyle="1"/>
          <w:cols w:space="708"/>
          <w:titlePg/>
          <w:docGrid w:linePitch="360"/>
        </w:sectPr>
      </w:pPr>
      <w:r>
        <w:rPr>
          <w:noProof w:val="0"/>
          <w:lang w:val="en-CA"/>
        </w:rPr>
        <w:t>Introduction</w:t>
      </w:r>
    </w:p>
    <w:p w:rsidRPr="0015322B" w:rsidR="00804AED" w:rsidP="00A363B3" w:rsidRDefault="00652FE4" w14:paraId="6AA0B515" w14:textId="155DEE79">
      <w:pPr>
        <w:pStyle w:val="Heading1"/>
        <w:rPr>
          <w:lang w:val="en-CA"/>
        </w:rPr>
      </w:pPr>
      <w:bookmarkStart w:name="_Toc213674168" w:id="4"/>
      <w:bookmarkEnd w:id="3"/>
      <w:r>
        <w:rPr>
          <w:lang w:val="en-CA"/>
        </w:rPr>
        <w:t>Introduction</w:t>
      </w:r>
      <w:bookmarkEnd w:id="4"/>
    </w:p>
    <w:p w:rsidRPr="0015322B" w:rsidR="00551A91" w:rsidP="00B16524" w:rsidRDefault="00652FE4" w14:paraId="324FC7AA" w14:textId="15C68BA2">
      <w:pPr>
        <w:pStyle w:val="Heading2"/>
        <w:numPr>
          <w:ilvl w:val="1"/>
          <w:numId w:val="3"/>
        </w:numPr>
        <w:rPr>
          <w:lang w:val="en-CA"/>
        </w:rPr>
      </w:pPr>
      <w:bookmarkStart w:name="_Toc213674169" w:id="5"/>
      <w:bookmarkStart w:name="_Toc517273724" w:id="6"/>
      <w:r>
        <w:rPr>
          <w:lang w:val="en-CA"/>
        </w:rPr>
        <w:t>Background</w:t>
      </w:r>
      <w:bookmarkEnd w:id="5"/>
    </w:p>
    <w:p w:rsidR="00652FE4" w:rsidP="000A0CE8" w:rsidRDefault="00240AD5" w14:paraId="55C1ED39" w14:textId="5196C726">
      <w:pPr>
        <w:pStyle w:val="BodyText125"/>
        <w:rPr>
          <w:lang w:val="en-CA"/>
        </w:rPr>
      </w:pPr>
      <w:r>
        <w:rPr>
          <w:lang w:val="en-CA"/>
        </w:rPr>
        <w:t xml:space="preserve">The </w:t>
      </w:r>
      <w:r w:rsidR="005B11E1">
        <w:rPr>
          <w:lang w:val="en-CA"/>
        </w:rPr>
        <w:t>City</w:t>
      </w:r>
      <w:r>
        <w:rPr>
          <w:lang w:val="en-CA"/>
        </w:rPr>
        <w:t xml:space="preserve"> of </w:t>
      </w:r>
      <w:r w:rsidR="005B11E1">
        <w:rPr>
          <w:lang w:val="en-CA"/>
        </w:rPr>
        <w:t>Cambridge</w:t>
      </w:r>
      <w:r>
        <w:rPr>
          <w:lang w:val="en-CA"/>
        </w:rPr>
        <w:t xml:space="preserve"> (</w:t>
      </w:r>
      <w:r w:rsidR="005B11E1">
        <w:rPr>
          <w:lang w:val="en-CA"/>
        </w:rPr>
        <w:t>City</w:t>
      </w:r>
      <w:r>
        <w:rPr>
          <w:lang w:val="en-CA"/>
        </w:rPr>
        <w:t xml:space="preserve">) imposes development charges (D.C.) to recover capital costs arising from the </w:t>
      </w:r>
      <w:r w:rsidR="004F5350">
        <w:rPr>
          <w:lang w:val="en-CA"/>
        </w:rPr>
        <w:t>increased needs for services</w:t>
      </w:r>
      <w:r>
        <w:rPr>
          <w:lang w:val="en-CA"/>
        </w:rPr>
        <w:t xml:space="preserve"> related to growth.  The </w:t>
      </w:r>
      <w:proofErr w:type="gramStart"/>
      <w:r w:rsidR="005B11E1">
        <w:rPr>
          <w:lang w:val="en-CA"/>
        </w:rPr>
        <w:t>City</w:t>
      </w:r>
      <w:proofErr w:type="gramEnd"/>
      <w:r>
        <w:rPr>
          <w:lang w:val="en-CA"/>
        </w:rPr>
        <w:t xml:space="preserve"> currently </w:t>
      </w:r>
      <w:r w:rsidR="008B735E">
        <w:rPr>
          <w:lang w:val="en-CA"/>
        </w:rPr>
        <w:t>imposes D.C.</w:t>
      </w:r>
      <w:r w:rsidR="00337C7E">
        <w:rPr>
          <w:lang w:val="en-CA"/>
        </w:rPr>
        <w:t>s</w:t>
      </w:r>
      <w:r w:rsidR="008B735E">
        <w:rPr>
          <w:lang w:val="en-CA"/>
        </w:rPr>
        <w:t xml:space="preserve"> via the following by-laws</w:t>
      </w:r>
      <w:r w:rsidR="00FD2D31">
        <w:rPr>
          <w:rStyle w:val="FootnoteReference"/>
          <w:lang w:val="en-CA"/>
        </w:rPr>
        <w:footnoteReference w:id="1"/>
      </w:r>
      <w:r>
        <w:rPr>
          <w:lang w:val="en-CA"/>
        </w:rPr>
        <w:t>:</w:t>
      </w:r>
    </w:p>
    <w:p w:rsidR="00E1787A" w:rsidP="00E1787A" w:rsidRDefault="004D44E8" w14:paraId="350AE358" w14:textId="5C90D539">
      <w:pPr>
        <w:pStyle w:val="BodyTextbullets125"/>
        <w:rPr>
          <w:lang w:val="en-CA"/>
        </w:rPr>
      </w:pPr>
      <w:r>
        <w:rPr>
          <w:lang w:val="en-CA"/>
        </w:rPr>
        <w:t>24-040 (</w:t>
      </w:r>
      <w:r w:rsidR="00E1787A">
        <w:rPr>
          <w:lang w:val="en-CA"/>
        </w:rPr>
        <w:t>Fire protection services</w:t>
      </w:r>
      <w:proofErr w:type="gramStart"/>
      <w:r>
        <w:rPr>
          <w:lang w:val="en-CA"/>
        </w:rPr>
        <w:t>);</w:t>
      </w:r>
      <w:proofErr w:type="gramEnd"/>
    </w:p>
    <w:p w:rsidR="00E1787A" w:rsidP="00240AD5" w:rsidRDefault="004D44E8" w14:paraId="4D12A5AE" w14:textId="5FCCAAE3">
      <w:pPr>
        <w:pStyle w:val="BodyTextbullets125"/>
        <w:rPr>
          <w:lang w:val="en-CA"/>
        </w:rPr>
      </w:pPr>
      <w:r>
        <w:rPr>
          <w:lang w:val="en-CA"/>
        </w:rPr>
        <w:t>24-041 (</w:t>
      </w:r>
      <w:r w:rsidR="00E1787A">
        <w:rPr>
          <w:lang w:val="en-CA"/>
        </w:rPr>
        <w:t>Library services</w:t>
      </w:r>
      <w:proofErr w:type="gramStart"/>
      <w:r>
        <w:rPr>
          <w:lang w:val="en-CA"/>
        </w:rPr>
        <w:t>);</w:t>
      </w:r>
      <w:proofErr w:type="gramEnd"/>
    </w:p>
    <w:p w:rsidR="00E1787A" w:rsidP="00240AD5" w:rsidRDefault="004D44E8" w14:paraId="743D7F65" w14:textId="0BB1494B">
      <w:pPr>
        <w:pStyle w:val="BodyTextbullets125"/>
        <w:rPr>
          <w:lang w:val="en-CA"/>
        </w:rPr>
      </w:pPr>
      <w:r>
        <w:rPr>
          <w:lang w:val="en-CA"/>
        </w:rPr>
        <w:t>24-042 (</w:t>
      </w:r>
      <w:r w:rsidR="00E1787A">
        <w:rPr>
          <w:lang w:val="en-CA"/>
        </w:rPr>
        <w:t>Parks and Recreation services</w:t>
      </w:r>
      <w:proofErr w:type="gramStart"/>
      <w:r w:rsidR="00E1787A">
        <w:rPr>
          <w:lang w:val="en-CA"/>
        </w:rPr>
        <w:t>);</w:t>
      </w:r>
      <w:proofErr w:type="gramEnd"/>
    </w:p>
    <w:p w:rsidR="00E1787A" w:rsidP="00240AD5" w:rsidRDefault="004D44E8" w14:paraId="65484675" w14:textId="5E17C95F">
      <w:pPr>
        <w:pStyle w:val="BodyTextbullets125"/>
        <w:rPr>
          <w:lang w:val="en-CA"/>
        </w:rPr>
      </w:pPr>
      <w:r>
        <w:rPr>
          <w:lang w:val="en-CA"/>
        </w:rPr>
        <w:t>24-043 (</w:t>
      </w:r>
      <w:r w:rsidR="00E1787A">
        <w:rPr>
          <w:lang w:val="en-CA"/>
        </w:rPr>
        <w:t>Public Works (Facilities and Fleet)</w:t>
      </w:r>
      <w:proofErr w:type="gramStart"/>
      <w:r>
        <w:rPr>
          <w:lang w:val="en-CA"/>
        </w:rPr>
        <w:t>)</w:t>
      </w:r>
      <w:r w:rsidR="00E1787A">
        <w:rPr>
          <w:lang w:val="en-CA"/>
        </w:rPr>
        <w:t>;</w:t>
      </w:r>
      <w:proofErr w:type="gramEnd"/>
    </w:p>
    <w:p w:rsidR="00E1787A" w:rsidP="00240AD5" w:rsidRDefault="004D44E8" w14:paraId="3E0BE94E" w14:textId="4909F27B">
      <w:pPr>
        <w:pStyle w:val="BodyTextbullets125"/>
        <w:rPr>
          <w:lang w:val="en-CA"/>
        </w:rPr>
      </w:pPr>
      <w:r>
        <w:rPr>
          <w:lang w:val="en-CA"/>
        </w:rPr>
        <w:t>24-044 (</w:t>
      </w:r>
      <w:r w:rsidR="00E1787A">
        <w:rPr>
          <w:lang w:val="en-CA"/>
        </w:rPr>
        <w:t xml:space="preserve">Services Related to a Highway </w:t>
      </w:r>
      <w:r w:rsidR="008B735E">
        <w:rPr>
          <w:lang w:val="en-CA"/>
        </w:rPr>
        <w:t>and Growth Studies</w:t>
      </w:r>
      <w:proofErr w:type="gramStart"/>
      <w:r>
        <w:rPr>
          <w:lang w:val="en-CA"/>
        </w:rPr>
        <w:t>);</w:t>
      </w:r>
      <w:proofErr w:type="gramEnd"/>
      <w:r w:rsidR="008B735E">
        <w:rPr>
          <w:lang w:val="en-CA"/>
        </w:rPr>
        <w:t xml:space="preserve"> </w:t>
      </w:r>
    </w:p>
    <w:p w:rsidR="00E1787A" w:rsidP="00240AD5" w:rsidRDefault="004D44E8" w14:paraId="54ECBD28" w14:textId="2D143C40">
      <w:pPr>
        <w:pStyle w:val="BodyTextbullets125"/>
        <w:rPr>
          <w:lang w:val="en-CA"/>
        </w:rPr>
      </w:pPr>
      <w:r>
        <w:rPr>
          <w:lang w:val="en-CA"/>
        </w:rPr>
        <w:t>24-045 (</w:t>
      </w:r>
      <w:r w:rsidR="00E1787A">
        <w:rPr>
          <w:lang w:val="en-CA"/>
        </w:rPr>
        <w:t>Stormwater Drainage and Control services</w:t>
      </w:r>
      <w:proofErr w:type="gramStart"/>
      <w:r w:rsidR="00E1787A">
        <w:rPr>
          <w:lang w:val="en-CA"/>
        </w:rPr>
        <w:t>);</w:t>
      </w:r>
      <w:proofErr w:type="gramEnd"/>
    </w:p>
    <w:p w:rsidR="00E1787A" w:rsidP="00240AD5" w:rsidRDefault="004D44E8" w14:paraId="77ED2D37" w14:textId="2C06E2A1">
      <w:pPr>
        <w:pStyle w:val="BodyTextbullets125"/>
        <w:rPr>
          <w:lang w:val="en-CA"/>
        </w:rPr>
      </w:pPr>
      <w:r>
        <w:rPr>
          <w:lang w:val="en-CA"/>
        </w:rPr>
        <w:t>24-046 (</w:t>
      </w:r>
      <w:r w:rsidR="00E1787A">
        <w:rPr>
          <w:lang w:val="en-CA"/>
        </w:rPr>
        <w:t>Wastewater services</w:t>
      </w:r>
      <w:r w:rsidR="008B735E">
        <w:rPr>
          <w:lang w:val="en-CA"/>
        </w:rPr>
        <w:t>); and</w:t>
      </w:r>
    </w:p>
    <w:p w:rsidR="008B735E" w:rsidP="00240AD5" w:rsidRDefault="004D44E8" w14:paraId="52C93A38" w14:textId="4C28292D">
      <w:pPr>
        <w:pStyle w:val="BodyTextbullets125"/>
        <w:rPr>
          <w:lang w:val="en-CA"/>
        </w:rPr>
      </w:pPr>
      <w:r>
        <w:rPr>
          <w:lang w:val="en-CA"/>
        </w:rPr>
        <w:t>24-047 (</w:t>
      </w:r>
      <w:r w:rsidR="008B735E">
        <w:rPr>
          <w:lang w:val="en-CA"/>
        </w:rPr>
        <w:t>Water services).</w:t>
      </w:r>
    </w:p>
    <w:p w:rsidR="00240AD5" w:rsidP="00240AD5" w:rsidRDefault="00240AD5" w14:paraId="7FE99557" w14:textId="79222C33">
      <w:pPr>
        <w:pStyle w:val="BodyText125"/>
        <w:rPr>
          <w:lang w:val="en-CA"/>
        </w:rPr>
      </w:pPr>
      <w:r>
        <w:rPr>
          <w:lang w:val="en-CA"/>
        </w:rPr>
        <w:t>The basis for the D.C.</w:t>
      </w:r>
      <w:r w:rsidR="00FF65E6">
        <w:rPr>
          <w:lang w:val="en-CA"/>
        </w:rPr>
        <w:t xml:space="preserve"> by-laws</w:t>
      </w:r>
      <w:r>
        <w:rPr>
          <w:lang w:val="en-CA"/>
        </w:rPr>
        <w:t xml:space="preserve"> is documented in the “</w:t>
      </w:r>
      <w:r w:rsidR="005B11E1">
        <w:rPr>
          <w:lang w:val="en-CA"/>
        </w:rPr>
        <w:t>City</w:t>
      </w:r>
      <w:r>
        <w:rPr>
          <w:lang w:val="en-CA"/>
        </w:rPr>
        <w:t xml:space="preserve"> of </w:t>
      </w:r>
      <w:r w:rsidR="005B11E1">
        <w:rPr>
          <w:lang w:val="en-CA"/>
        </w:rPr>
        <w:t>Cambridge</w:t>
      </w:r>
      <w:r>
        <w:rPr>
          <w:lang w:val="en-CA"/>
        </w:rPr>
        <w:t xml:space="preserve"> Development Charges Background Study”, dated </w:t>
      </w:r>
      <w:r w:rsidR="00A802D1">
        <w:rPr>
          <w:lang w:val="en-CA"/>
        </w:rPr>
        <w:t>December 22</w:t>
      </w:r>
      <w:r>
        <w:rPr>
          <w:lang w:val="en-CA"/>
        </w:rPr>
        <w:t xml:space="preserve">, 2023 (the “2023 D.C. Study”), </w:t>
      </w:r>
      <w:r w:rsidR="004503F6">
        <w:rPr>
          <w:lang w:val="en-CA"/>
        </w:rPr>
        <w:t xml:space="preserve">in addition to the </w:t>
      </w:r>
      <w:r w:rsidR="00A802D1">
        <w:rPr>
          <w:lang w:val="en-CA"/>
        </w:rPr>
        <w:t xml:space="preserve">2024 Development Charges Amendments as per Bill 185 </w:t>
      </w:r>
      <w:r w:rsidR="00D52442">
        <w:rPr>
          <w:lang w:val="en-CA"/>
        </w:rPr>
        <w:t>Memorandum</w:t>
      </w:r>
      <w:r w:rsidR="001C6561">
        <w:rPr>
          <w:lang w:val="en-CA"/>
        </w:rPr>
        <w:t xml:space="preserve">, dated </w:t>
      </w:r>
      <w:r w:rsidR="00A802D1">
        <w:rPr>
          <w:lang w:val="en-CA"/>
        </w:rPr>
        <w:t>August 7</w:t>
      </w:r>
      <w:r w:rsidR="001C6561">
        <w:rPr>
          <w:lang w:val="en-CA"/>
        </w:rPr>
        <w:t>, 202</w:t>
      </w:r>
      <w:r w:rsidR="00A802D1">
        <w:rPr>
          <w:lang w:val="en-CA"/>
        </w:rPr>
        <w:t>4</w:t>
      </w:r>
      <w:r>
        <w:rPr>
          <w:lang w:val="en-CA"/>
        </w:rPr>
        <w:t xml:space="preserve">.  The D.C.s came into effect on </w:t>
      </w:r>
      <w:r w:rsidR="00A802D1">
        <w:rPr>
          <w:lang w:val="en-CA"/>
        </w:rPr>
        <w:t>June 1</w:t>
      </w:r>
      <w:r w:rsidR="00766442">
        <w:rPr>
          <w:lang w:val="en-CA"/>
        </w:rPr>
        <w:t>, 202</w:t>
      </w:r>
      <w:r w:rsidR="00A802D1">
        <w:rPr>
          <w:lang w:val="en-CA"/>
        </w:rPr>
        <w:t>4</w:t>
      </w:r>
      <w:r w:rsidR="003B2672">
        <w:rPr>
          <w:lang w:val="en-CA"/>
        </w:rPr>
        <w:t xml:space="preserve">, and were amended on </w:t>
      </w:r>
      <w:r w:rsidR="00423596">
        <w:rPr>
          <w:lang w:val="en-CA"/>
        </w:rPr>
        <w:t>October 22, 2024</w:t>
      </w:r>
      <w:r w:rsidR="00766442">
        <w:rPr>
          <w:lang w:val="en-CA"/>
        </w:rPr>
        <w:t>.</w:t>
      </w:r>
    </w:p>
    <w:p w:rsidRPr="00093B3F" w:rsidR="005F6BA4" w:rsidP="00240AD5" w:rsidRDefault="005F6BA4" w14:paraId="659E8CE8" w14:textId="195E695F">
      <w:pPr>
        <w:pStyle w:val="BodyText125"/>
        <w:rPr>
          <w:lang w:val="en-CA"/>
        </w:rPr>
      </w:pPr>
      <w:r>
        <w:rPr>
          <w:lang w:val="en-CA"/>
        </w:rPr>
        <w:t xml:space="preserve">Since the release of the background study </w:t>
      </w:r>
      <w:r w:rsidR="00891198">
        <w:rPr>
          <w:lang w:val="en-CA"/>
        </w:rPr>
        <w:t xml:space="preserve">and the by-laws came into effect </w:t>
      </w:r>
      <w:r>
        <w:rPr>
          <w:lang w:val="en-CA"/>
        </w:rPr>
        <w:t xml:space="preserve">in 2023, the </w:t>
      </w:r>
      <w:proofErr w:type="gramStart"/>
      <w:r>
        <w:rPr>
          <w:lang w:val="en-CA"/>
        </w:rPr>
        <w:t>City</w:t>
      </w:r>
      <w:proofErr w:type="gramEnd"/>
      <w:r>
        <w:rPr>
          <w:lang w:val="en-CA"/>
        </w:rPr>
        <w:t xml:space="preserve"> has undertaken a </w:t>
      </w:r>
      <w:r w:rsidR="00093B3F">
        <w:rPr>
          <w:lang w:val="en-CA"/>
        </w:rPr>
        <w:t>P</w:t>
      </w:r>
      <w:r>
        <w:rPr>
          <w:lang w:val="en-CA"/>
        </w:rPr>
        <w:t xml:space="preserve">arks and </w:t>
      </w:r>
      <w:r w:rsidR="00093B3F">
        <w:rPr>
          <w:lang w:val="en-CA"/>
        </w:rPr>
        <w:t>R</w:t>
      </w:r>
      <w:r>
        <w:rPr>
          <w:lang w:val="en-CA"/>
        </w:rPr>
        <w:t xml:space="preserve">ecreation </w:t>
      </w:r>
      <w:r w:rsidR="00093B3F">
        <w:rPr>
          <w:lang w:val="en-CA"/>
        </w:rPr>
        <w:t>M</w:t>
      </w:r>
      <w:r>
        <w:rPr>
          <w:lang w:val="en-CA"/>
        </w:rPr>
        <w:t xml:space="preserve">aster </w:t>
      </w:r>
      <w:r w:rsidR="00093B3F">
        <w:rPr>
          <w:lang w:val="en-CA"/>
        </w:rPr>
        <w:t>P</w:t>
      </w:r>
      <w:r>
        <w:rPr>
          <w:lang w:val="en-CA"/>
        </w:rPr>
        <w:t>lan</w:t>
      </w:r>
      <w:r w:rsidR="00C3149C">
        <w:rPr>
          <w:lang w:val="en-CA"/>
        </w:rPr>
        <w:t>,</w:t>
      </w:r>
      <w:r>
        <w:rPr>
          <w:lang w:val="en-CA"/>
        </w:rPr>
        <w:t xml:space="preserve"> which </w:t>
      </w:r>
      <w:r w:rsidR="00093B3F">
        <w:rPr>
          <w:lang w:val="en-CA"/>
        </w:rPr>
        <w:t xml:space="preserve">provides updated </w:t>
      </w:r>
      <w:r>
        <w:rPr>
          <w:lang w:val="en-CA"/>
        </w:rPr>
        <w:t xml:space="preserve">service </w:t>
      </w:r>
      <w:r w:rsidRPr="00093B3F">
        <w:rPr>
          <w:lang w:val="en-CA"/>
        </w:rPr>
        <w:t xml:space="preserve">level targets and capital costs.  </w:t>
      </w:r>
    </w:p>
    <w:p w:rsidRPr="00473E5D" w:rsidR="007D07C1" w:rsidP="00240AD5" w:rsidRDefault="00423596" w14:paraId="0CF2C80C" w14:textId="1EAC7E7D">
      <w:pPr>
        <w:pStyle w:val="BodyText125"/>
        <w:rPr>
          <w:lang w:val="en-CA"/>
        </w:rPr>
      </w:pPr>
      <w:r w:rsidRPr="00261F8C">
        <w:rPr>
          <w:lang w:val="en-CA"/>
        </w:rPr>
        <w:t>In addition, o</w:t>
      </w:r>
      <w:r w:rsidRPr="00093B3F" w:rsidR="008651C0">
        <w:rPr>
          <w:lang w:val="en-CA"/>
        </w:rPr>
        <w:t xml:space="preserve">n May 12, 2025, the Province released proposed changes to the </w:t>
      </w:r>
      <w:r w:rsidRPr="00093B3F" w:rsidR="008651C0">
        <w:rPr>
          <w:i/>
          <w:iCs/>
          <w:lang w:val="en-CA"/>
        </w:rPr>
        <w:t xml:space="preserve">Development Charges Act </w:t>
      </w:r>
      <w:r w:rsidRPr="00093B3F" w:rsidR="008651C0">
        <w:rPr>
          <w:lang w:val="en-CA"/>
        </w:rPr>
        <w:t xml:space="preserve">(D.C.A.) via Bill 17: </w:t>
      </w:r>
      <w:r w:rsidRPr="00093B3F" w:rsidR="008651C0">
        <w:rPr>
          <w:i/>
          <w:iCs/>
          <w:lang w:val="en-CA"/>
        </w:rPr>
        <w:t xml:space="preserve">Protect Ontario by Building Faster and Smarter Act, </w:t>
      </w:r>
      <w:r w:rsidRPr="00093B3F" w:rsidR="008651C0">
        <w:rPr>
          <w:lang w:val="en-CA"/>
        </w:rPr>
        <w:t>2025.  The Bill received Royal Assent on June 5, 2025.  This Bill introduces additional exemptions, changes to the timing of payment for residential D.C.</w:t>
      </w:r>
      <w:proofErr w:type="gramStart"/>
      <w:r w:rsidRPr="00093B3F" w:rsidR="008651C0">
        <w:rPr>
          <w:lang w:val="en-CA"/>
        </w:rPr>
        <w:t>s, and</w:t>
      </w:r>
      <w:proofErr w:type="gramEnd"/>
      <w:r w:rsidRPr="00093B3F" w:rsidR="008651C0">
        <w:rPr>
          <w:lang w:val="en-CA"/>
        </w:rPr>
        <w:t xml:space="preserve"> provides regulatory authority to make future changes.  </w:t>
      </w:r>
    </w:p>
    <w:p w:rsidR="005A4A7C" w:rsidP="4FA7D9DC" w:rsidRDefault="008651C0" w14:paraId="3106F812" w14:textId="1D630185">
      <w:pPr>
        <w:pStyle w:val="BodyText125"/>
      </w:pPr>
      <w:r w:rsidRPr="4FA7D9DC">
        <w:t xml:space="preserve">The purpose of this report is to update the </w:t>
      </w:r>
      <w:r w:rsidRPr="00473E5D" w:rsidR="007D07C1">
        <w:t xml:space="preserve">capital cost estimates </w:t>
      </w:r>
      <w:r w:rsidRPr="00473E5D" w:rsidR="006300A0">
        <w:t>related to parks and recreation</w:t>
      </w:r>
      <w:r w:rsidR="00F56D82">
        <w:t xml:space="preserve"> services</w:t>
      </w:r>
      <w:r w:rsidRPr="008362D4" w:rsidR="006300A0">
        <w:t>.  In addition, the</w:t>
      </w:r>
      <w:r w:rsidRPr="4FA7D9DC" w:rsidR="00F00B7F">
        <w:t xml:space="preserve"> parks and recreation D.C.</w:t>
      </w:r>
      <w:r w:rsidRPr="008362D4" w:rsidR="006300A0">
        <w:t xml:space="preserve"> </w:t>
      </w:r>
      <w:proofErr w:type="gramStart"/>
      <w:r w:rsidRPr="008362D4" w:rsidR="006300A0">
        <w:t>by-law</w:t>
      </w:r>
      <w:proofErr w:type="gramEnd"/>
      <w:r w:rsidRPr="008362D4" w:rsidR="006300A0">
        <w:t xml:space="preserve"> will be amended to align with the legislative changes, as provided </w:t>
      </w:r>
      <w:r w:rsidRPr="008362D4" w:rsidR="00093B3F">
        <w:t xml:space="preserve">through </w:t>
      </w:r>
      <w:r w:rsidRPr="4FA7D9DC">
        <w:t xml:space="preserve">Bill </w:t>
      </w:r>
      <w:r w:rsidRPr="4FA7D9DC" w:rsidR="007D07C1">
        <w:t>1</w:t>
      </w:r>
      <w:r w:rsidRPr="008362D4" w:rsidR="007D07C1">
        <w:t>7</w:t>
      </w:r>
      <w:r w:rsidRPr="008362D4" w:rsidR="00093B3F">
        <w:t>.</w:t>
      </w:r>
      <w:r w:rsidRPr="4FA7D9DC" w:rsidR="008459C8">
        <w:t xml:space="preserve">  </w:t>
      </w:r>
    </w:p>
    <w:p w:rsidR="008651C0" w:rsidP="00240AD5" w:rsidRDefault="008459C8" w14:paraId="566C7374" w14:textId="4403CEE1">
      <w:pPr>
        <w:pStyle w:val="BodyText125"/>
        <w:rPr>
          <w:lang w:val="en-CA"/>
        </w:rPr>
      </w:pPr>
      <w:r>
        <w:rPr>
          <w:lang w:val="en-CA"/>
        </w:rPr>
        <w:t xml:space="preserve">Note, </w:t>
      </w:r>
      <w:r w:rsidR="005D0BA1">
        <w:rPr>
          <w:lang w:val="en-CA"/>
        </w:rPr>
        <w:t xml:space="preserve">Section 19(1.1) of the D.C.A. </w:t>
      </w:r>
      <w:r w:rsidR="005A4A7C">
        <w:rPr>
          <w:lang w:val="en-CA"/>
        </w:rPr>
        <w:t xml:space="preserve">allows municipalities to undertake minor amendments to D.C. by-laws </w:t>
      </w:r>
      <w:r w:rsidR="00D93B4B">
        <w:rPr>
          <w:lang w:val="en-CA"/>
        </w:rPr>
        <w:t>to decrease the amount o</w:t>
      </w:r>
      <w:r w:rsidR="003A29B5">
        <w:rPr>
          <w:lang w:val="en-CA"/>
        </w:rPr>
        <w:t>f</w:t>
      </w:r>
      <w:r w:rsidR="00D93B4B">
        <w:rPr>
          <w:lang w:val="en-CA"/>
        </w:rPr>
        <w:t xml:space="preserve"> a D.C. that is payable for one or more types of development.  </w:t>
      </w:r>
      <w:r w:rsidR="00600838">
        <w:rPr>
          <w:lang w:val="en-CA"/>
        </w:rPr>
        <w:t xml:space="preserve">As such, the </w:t>
      </w:r>
      <w:proofErr w:type="gramStart"/>
      <w:r w:rsidR="00600838">
        <w:rPr>
          <w:lang w:val="en-CA"/>
        </w:rPr>
        <w:t>City</w:t>
      </w:r>
      <w:proofErr w:type="gramEnd"/>
      <w:r w:rsidR="00600838">
        <w:rPr>
          <w:lang w:val="en-CA"/>
        </w:rPr>
        <w:t xml:space="preserve"> will be </w:t>
      </w:r>
      <w:r w:rsidR="00554FC7">
        <w:rPr>
          <w:lang w:val="en-CA"/>
        </w:rPr>
        <w:t>recommending</w:t>
      </w:r>
      <w:r w:rsidR="00600838">
        <w:rPr>
          <w:lang w:val="en-CA"/>
        </w:rPr>
        <w:t xml:space="preserve"> minor by-law amendments to the current D.C. by-laws, other than parks and recreation, to align with the legislative changes provided through Bill 17.  The legislative changes are further</w:t>
      </w:r>
      <w:r w:rsidR="00B57349">
        <w:rPr>
          <w:lang w:val="en-CA"/>
        </w:rPr>
        <w:t xml:space="preserve"> discussed</w:t>
      </w:r>
      <w:r w:rsidR="00600838">
        <w:rPr>
          <w:lang w:val="en-CA"/>
        </w:rPr>
        <w:t xml:space="preserve"> in </w:t>
      </w:r>
      <w:r w:rsidR="000E71F8">
        <w:rPr>
          <w:lang w:val="en-CA"/>
        </w:rPr>
        <w:t>Chapter</w:t>
      </w:r>
      <w:r w:rsidR="00600838">
        <w:rPr>
          <w:lang w:val="en-CA"/>
        </w:rPr>
        <w:t xml:space="preserve"> 2 of this report. </w:t>
      </w:r>
    </w:p>
    <w:p w:rsidR="00B8116B" w:rsidP="001C6561" w:rsidRDefault="008651C0" w14:paraId="2C481E4C" w14:textId="184BF383">
      <w:pPr>
        <w:pStyle w:val="BodyText125"/>
        <w:rPr>
          <w:lang w:val="en-CA"/>
        </w:rPr>
      </w:pPr>
      <w:r>
        <w:rPr>
          <w:lang w:val="en-CA"/>
        </w:rPr>
        <w:t>The City’s D.C.s have been indexed annually on December 1, beginning in 20</w:t>
      </w:r>
      <w:r w:rsidRPr="009A57E8">
        <w:rPr>
          <w:lang w:val="en-CA"/>
        </w:rPr>
        <w:t xml:space="preserve">24, and are currently </w:t>
      </w:r>
      <w:r w:rsidR="00914A90">
        <w:rPr>
          <w:lang w:val="en-CA"/>
        </w:rPr>
        <w:t xml:space="preserve">approximately </w:t>
      </w:r>
      <w:r>
        <w:rPr>
          <w:lang w:val="en-CA"/>
        </w:rPr>
        <w:t>4.8</w:t>
      </w:r>
      <w:r w:rsidRPr="009A57E8">
        <w:rPr>
          <w:lang w:val="en-CA"/>
        </w:rPr>
        <w:t>% higher than the 2023 rates implemented under By-law</w:t>
      </w:r>
      <w:r>
        <w:rPr>
          <w:lang w:val="en-CA"/>
        </w:rPr>
        <w:t>s</w:t>
      </w:r>
      <w:r w:rsidRPr="009A57E8">
        <w:rPr>
          <w:lang w:val="en-CA"/>
        </w:rPr>
        <w:t xml:space="preserve"> </w:t>
      </w:r>
      <w:r>
        <w:rPr>
          <w:lang w:val="en-CA"/>
        </w:rPr>
        <w:t>24</w:t>
      </w:r>
      <w:r w:rsidRPr="009A57E8">
        <w:rPr>
          <w:lang w:val="en-CA"/>
        </w:rPr>
        <w:t>-0</w:t>
      </w:r>
      <w:r>
        <w:rPr>
          <w:lang w:val="en-CA"/>
        </w:rPr>
        <w:t>40 through 24-047 (in accordance with section 10 of the by-laws)</w:t>
      </w:r>
      <w:r w:rsidRPr="009A57E8">
        <w:rPr>
          <w:lang w:val="en-CA"/>
        </w:rPr>
        <w:t>.  The 2023 D.C.s (unindexed) are shown in Table 1-1.</w:t>
      </w:r>
      <w:r>
        <w:rPr>
          <w:lang w:val="en-CA"/>
        </w:rPr>
        <w:t xml:space="preserve"> </w:t>
      </w:r>
    </w:p>
    <w:p w:rsidR="00652FE4" w:rsidP="001C6561" w:rsidRDefault="00652FE4" w14:paraId="74C720D6" w14:textId="12C94DB8">
      <w:pPr>
        <w:pStyle w:val="Heading2"/>
        <w:rPr>
          <w:lang w:val="en-CA"/>
        </w:rPr>
      </w:pPr>
      <w:bookmarkStart w:name="_Toc213674170" w:id="7"/>
      <w:r>
        <w:rPr>
          <w:lang w:val="en-CA"/>
        </w:rPr>
        <w:t>Existing Policies (Rules)</w:t>
      </w:r>
      <w:bookmarkEnd w:id="7"/>
    </w:p>
    <w:p w:rsidR="00652FE4" w:rsidP="00652FE4" w:rsidRDefault="00766442" w14:paraId="5754D178" w14:textId="0BED2222">
      <w:pPr>
        <w:pStyle w:val="BodyText125"/>
        <w:rPr>
          <w:lang w:val="en-CA" w:eastAsia="ja-JP"/>
        </w:rPr>
      </w:pPr>
      <w:r>
        <w:rPr>
          <w:lang w:val="en-CA" w:eastAsia="ja-JP"/>
        </w:rPr>
        <w:t xml:space="preserve">Appendix A of this report sets out the rules governing the calculation, payment, and collection of </w:t>
      </w:r>
      <w:proofErr w:type="gramStart"/>
      <w:r>
        <w:rPr>
          <w:lang w:val="en-CA" w:eastAsia="ja-JP"/>
        </w:rPr>
        <w:t>D</w:t>
      </w:r>
      <w:proofErr w:type="gramEnd"/>
      <w:r>
        <w:rPr>
          <w:lang w:val="en-CA" w:eastAsia="ja-JP"/>
        </w:rPr>
        <w:t>.C.s as provided in By-law</w:t>
      </w:r>
      <w:r w:rsidR="008651C0">
        <w:rPr>
          <w:lang w:val="en-CA" w:eastAsia="ja-JP"/>
        </w:rPr>
        <w:t>s</w:t>
      </w:r>
      <w:r>
        <w:rPr>
          <w:lang w:val="en-CA" w:eastAsia="ja-JP"/>
        </w:rPr>
        <w:t xml:space="preserve"> </w:t>
      </w:r>
      <w:r w:rsidR="008651C0">
        <w:rPr>
          <w:lang w:val="en-CA" w:eastAsia="ja-JP"/>
        </w:rPr>
        <w:t>24-040 through 24-047</w:t>
      </w:r>
      <w:r w:rsidR="000253D6">
        <w:rPr>
          <w:lang w:val="en-CA" w:eastAsia="ja-JP"/>
        </w:rPr>
        <w:t xml:space="preserve"> (as amended)</w:t>
      </w:r>
      <w:r>
        <w:rPr>
          <w:lang w:val="en-CA" w:eastAsia="ja-JP"/>
        </w:rPr>
        <w:t xml:space="preserve">. </w:t>
      </w:r>
    </w:p>
    <w:p w:rsidR="00652FE4" w:rsidP="00652FE4" w:rsidRDefault="00652FE4" w14:paraId="27C2AEC6" w14:textId="3563B517">
      <w:pPr>
        <w:pStyle w:val="Heading2"/>
        <w:rPr>
          <w:lang w:val="en-CA"/>
        </w:rPr>
      </w:pPr>
      <w:bookmarkStart w:name="_Toc213674171" w:id="8"/>
      <w:r>
        <w:rPr>
          <w:lang w:val="en-CA"/>
        </w:rPr>
        <w:t>Basis for the D.C. By-law Update</w:t>
      </w:r>
      <w:bookmarkEnd w:id="8"/>
    </w:p>
    <w:p w:rsidR="001209B3" w:rsidP="00766442" w:rsidRDefault="001209B3" w14:paraId="1C4B6032" w14:textId="2A399F97">
      <w:pPr>
        <w:pStyle w:val="BodyText125"/>
        <w:rPr>
          <w:lang w:val="en-CA" w:eastAsia="ja-JP"/>
        </w:rPr>
      </w:pPr>
      <w:r>
        <w:rPr>
          <w:lang w:val="en-CA" w:eastAsia="ja-JP"/>
        </w:rPr>
        <w:t xml:space="preserve">The </w:t>
      </w:r>
      <w:r w:rsidR="005B11E1">
        <w:rPr>
          <w:lang w:val="en-CA" w:eastAsia="ja-JP"/>
        </w:rPr>
        <w:t>City</w:t>
      </w:r>
      <w:r>
        <w:rPr>
          <w:lang w:val="en-CA" w:eastAsia="ja-JP"/>
        </w:rPr>
        <w:t xml:space="preserve"> is undertaking </w:t>
      </w:r>
      <w:r w:rsidR="008651C0">
        <w:rPr>
          <w:lang w:val="en-CA" w:eastAsia="ja-JP"/>
        </w:rPr>
        <w:t xml:space="preserve">a formal amendment </w:t>
      </w:r>
      <w:r>
        <w:rPr>
          <w:lang w:val="en-CA" w:eastAsia="ja-JP"/>
        </w:rPr>
        <w:t xml:space="preserve">process in amending the existing </w:t>
      </w:r>
      <w:r w:rsidR="000253D6">
        <w:rPr>
          <w:lang w:val="en-CA" w:eastAsia="ja-JP"/>
        </w:rPr>
        <w:t xml:space="preserve">parks and recreation </w:t>
      </w:r>
      <w:r>
        <w:rPr>
          <w:lang w:val="en-CA" w:eastAsia="ja-JP"/>
        </w:rPr>
        <w:t>D.C. by-law</w:t>
      </w:r>
      <w:r w:rsidR="008651C0">
        <w:rPr>
          <w:lang w:val="en-CA" w:eastAsia="ja-JP"/>
        </w:rPr>
        <w:t>, requiring the detailed public process.</w:t>
      </w:r>
    </w:p>
    <w:p w:rsidR="001209B3" w:rsidP="00766442" w:rsidRDefault="001209B3" w14:paraId="3CBA865E" w14:textId="371AE01A">
      <w:pPr>
        <w:pStyle w:val="BodyText125"/>
        <w:rPr>
          <w:lang w:val="en-CA"/>
        </w:rPr>
      </w:pPr>
      <w:r>
        <w:rPr>
          <w:lang w:val="en-CA" w:eastAsia="ja-JP"/>
        </w:rPr>
        <w:t>The formal amendment to the D.C. by-law is being undertaken for the following purposes:</w:t>
      </w:r>
    </w:p>
    <w:p w:rsidRPr="00C5173A" w:rsidR="008651C0" w:rsidP="00766442" w:rsidRDefault="008651C0" w14:paraId="0922A1FE" w14:textId="4E237730">
      <w:pPr>
        <w:pStyle w:val="BodyTextbullets125"/>
        <w:rPr>
          <w:lang w:val="en-CA"/>
        </w:rPr>
      </w:pPr>
      <w:r w:rsidRPr="00C5173A">
        <w:rPr>
          <w:lang w:val="en-CA"/>
        </w:rPr>
        <w:t xml:space="preserve">Updating the </w:t>
      </w:r>
      <w:r w:rsidRPr="00C5173A" w:rsidR="00B57349">
        <w:rPr>
          <w:lang w:val="en-CA"/>
        </w:rPr>
        <w:t>capital</w:t>
      </w:r>
      <w:r w:rsidRPr="00C5173A">
        <w:rPr>
          <w:lang w:val="en-CA"/>
        </w:rPr>
        <w:t xml:space="preserve"> </w:t>
      </w:r>
      <w:r w:rsidRPr="00C5173A" w:rsidR="00B57349">
        <w:rPr>
          <w:lang w:val="en-CA"/>
        </w:rPr>
        <w:t xml:space="preserve">projects and </w:t>
      </w:r>
      <w:r w:rsidRPr="00C5173A">
        <w:rPr>
          <w:lang w:val="en-CA"/>
        </w:rPr>
        <w:t>cost estimates related to parks and recreation services to align with the updated Parks and Recreation Master Plan</w:t>
      </w:r>
      <w:r w:rsidRPr="00C5173A" w:rsidR="00914A90">
        <w:rPr>
          <w:lang w:val="en-CA"/>
        </w:rPr>
        <w:t>; and</w:t>
      </w:r>
    </w:p>
    <w:p w:rsidRPr="00C5173A" w:rsidR="00914A90" w:rsidP="00766442" w:rsidRDefault="00914A90" w14:paraId="6901CB15" w14:textId="66D7F18A">
      <w:pPr>
        <w:pStyle w:val="BodyTextbullets125"/>
        <w:rPr>
          <w:lang w:val="en-CA"/>
        </w:rPr>
      </w:pPr>
      <w:r w:rsidRPr="00C5173A">
        <w:rPr>
          <w:lang w:val="en-CA"/>
        </w:rPr>
        <w:t xml:space="preserve">Updating the D.C. by-law </w:t>
      </w:r>
      <w:r w:rsidRPr="00473E5D" w:rsidR="00C5173A">
        <w:rPr>
          <w:lang w:val="en-CA"/>
        </w:rPr>
        <w:t xml:space="preserve">to align with </w:t>
      </w:r>
      <w:r w:rsidRPr="00C5173A">
        <w:rPr>
          <w:lang w:val="en-CA"/>
        </w:rPr>
        <w:t>the legislative changes provided through Bill 17.</w:t>
      </w:r>
    </w:p>
    <w:p w:rsidRPr="00F263A1" w:rsidR="00766442" w:rsidP="00766442" w:rsidRDefault="00766442" w14:paraId="5979B3BD" w14:textId="06F17E8B">
      <w:pPr>
        <w:pStyle w:val="BodyText125"/>
        <w:rPr>
          <w:lang w:val="en-CA" w:eastAsia="ja-JP"/>
        </w:rPr>
      </w:pPr>
      <w:r w:rsidRPr="004D44E8">
        <w:rPr>
          <w:lang w:val="en-CA" w:eastAsia="ja-JP"/>
        </w:rPr>
        <w:t xml:space="preserve">Details on the changes to the calculation and by-law are presented in Chapter </w:t>
      </w:r>
      <w:r w:rsidR="00C5173A">
        <w:rPr>
          <w:lang w:val="en-CA" w:eastAsia="ja-JP"/>
        </w:rPr>
        <w:t>4</w:t>
      </w:r>
      <w:r w:rsidRPr="004D44E8" w:rsidR="00C5173A">
        <w:rPr>
          <w:lang w:val="en-CA" w:eastAsia="ja-JP"/>
        </w:rPr>
        <w:t xml:space="preserve"> </w:t>
      </w:r>
      <w:r w:rsidRPr="004D44E8">
        <w:rPr>
          <w:lang w:val="en-CA" w:eastAsia="ja-JP"/>
        </w:rPr>
        <w:t xml:space="preserve">and Chapter </w:t>
      </w:r>
      <w:r w:rsidR="00C5173A">
        <w:rPr>
          <w:lang w:val="en-CA" w:eastAsia="ja-JP"/>
        </w:rPr>
        <w:t>5</w:t>
      </w:r>
      <w:r w:rsidRPr="004D44E8" w:rsidR="00C5173A">
        <w:rPr>
          <w:lang w:val="en-CA" w:eastAsia="ja-JP"/>
        </w:rPr>
        <w:t xml:space="preserve"> </w:t>
      </w:r>
      <w:r w:rsidRPr="004D44E8">
        <w:rPr>
          <w:lang w:val="en-CA" w:eastAsia="ja-JP"/>
        </w:rPr>
        <w:t>of this report, respectively. The</w:t>
      </w:r>
      <w:r w:rsidRPr="004D44E8" w:rsidR="001209B3">
        <w:rPr>
          <w:lang w:val="en-CA" w:eastAsia="ja-JP"/>
        </w:rPr>
        <w:t xml:space="preserve"> </w:t>
      </w:r>
      <w:r w:rsidRPr="004D44E8">
        <w:rPr>
          <w:lang w:val="en-CA" w:eastAsia="ja-JP"/>
        </w:rPr>
        <w:t xml:space="preserve">draft amending by-law </w:t>
      </w:r>
      <w:r w:rsidRPr="004D44E8" w:rsidR="007B6A3F">
        <w:rPr>
          <w:lang w:val="en-CA" w:eastAsia="ja-JP"/>
        </w:rPr>
        <w:t>is</w:t>
      </w:r>
      <w:r w:rsidRPr="004D44E8">
        <w:rPr>
          <w:lang w:val="en-CA" w:eastAsia="ja-JP"/>
        </w:rPr>
        <w:t xml:space="preserve"> presented in Appendi</w:t>
      </w:r>
      <w:r w:rsidRPr="004D44E8" w:rsidR="004D44E8">
        <w:rPr>
          <w:lang w:val="en-CA" w:eastAsia="ja-JP"/>
        </w:rPr>
        <w:t xml:space="preserve">x </w:t>
      </w:r>
      <w:r w:rsidRPr="004D44E8" w:rsidR="001209B3">
        <w:rPr>
          <w:lang w:val="en-CA" w:eastAsia="ja-JP"/>
        </w:rPr>
        <w:t>D</w:t>
      </w:r>
      <w:r w:rsidRPr="004D44E8">
        <w:rPr>
          <w:lang w:val="en-CA" w:eastAsia="ja-JP"/>
        </w:rPr>
        <w:t xml:space="preserve"> to this report.</w:t>
      </w:r>
    </w:p>
    <w:p w:rsidR="00652FE4" w:rsidP="00652FE4" w:rsidRDefault="00652FE4" w14:paraId="09874635" w14:textId="2D4969A6">
      <w:pPr>
        <w:pStyle w:val="Heading2"/>
        <w:rPr>
          <w:lang w:val="en-CA"/>
        </w:rPr>
      </w:pPr>
      <w:bookmarkStart w:name="_Toc213674172" w:id="9"/>
      <w:r>
        <w:rPr>
          <w:lang w:val="en-CA"/>
        </w:rPr>
        <w:t>Summary of the Process</w:t>
      </w:r>
      <w:bookmarkEnd w:id="9"/>
    </w:p>
    <w:p w:rsidRPr="00F263A1" w:rsidR="001209B3" w:rsidP="001209B3" w:rsidRDefault="001209B3" w14:paraId="28A94A7A" w14:textId="18CB3079">
      <w:pPr>
        <w:pStyle w:val="BodyText125"/>
        <w:rPr>
          <w:lang w:val="en-CA" w:eastAsia="ja-JP"/>
        </w:rPr>
      </w:pPr>
      <w:r w:rsidRPr="04DE1885" w:rsidR="001209B3">
        <w:rPr>
          <w:lang w:val="en-CA" w:eastAsia="ja-JP"/>
        </w:rPr>
        <w:t xml:space="preserve">The public meeting </w:t>
      </w:r>
      <w:r w:rsidRPr="04DE1885" w:rsidR="001209B3">
        <w:rPr>
          <w:lang w:val="en-CA" w:eastAsia="ja-JP"/>
        </w:rPr>
        <w:t>required</w:t>
      </w:r>
      <w:r w:rsidRPr="04DE1885" w:rsidR="001209B3">
        <w:rPr>
          <w:lang w:val="en-CA" w:eastAsia="ja-JP"/>
        </w:rPr>
        <w:t xml:space="preserve"> </w:t>
      </w:r>
      <w:r w:rsidRPr="04DE1885" w:rsidR="00EA380F">
        <w:rPr>
          <w:lang w:val="en-CA" w:eastAsia="ja-JP"/>
        </w:rPr>
        <w:t xml:space="preserve">for the </w:t>
      </w:r>
      <w:r w:rsidRPr="04DE1885" w:rsidR="00534A66">
        <w:rPr>
          <w:lang w:val="en-CA" w:eastAsia="ja-JP"/>
        </w:rPr>
        <w:t xml:space="preserve">by-law </w:t>
      </w:r>
      <w:r w:rsidRPr="04DE1885" w:rsidR="00EA380F">
        <w:rPr>
          <w:lang w:val="en-CA" w:eastAsia="ja-JP"/>
        </w:rPr>
        <w:t xml:space="preserve">amendment </w:t>
      </w:r>
      <w:r w:rsidRPr="04DE1885" w:rsidR="001209B3">
        <w:rPr>
          <w:lang w:val="en-CA" w:eastAsia="ja-JP"/>
        </w:rPr>
        <w:t xml:space="preserve">under Section 12 of the D.C.A. has been scheduled for </w:t>
      </w:r>
      <w:r w:rsidRPr="04DE1885" w:rsidR="009A57E8">
        <w:rPr>
          <w:lang w:val="en-CA" w:eastAsia="ja-JP"/>
        </w:rPr>
        <w:t xml:space="preserve">November </w:t>
      </w:r>
      <w:r w:rsidRPr="04DE1885" w:rsidR="00912A72">
        <w:rPr>
          <w:lang w:val="en-CA" w:eastAsia="ja-JP"/>
        </w:rPr>
        <w:t>25</w:t>
      </w:r>
      <w:r w:rsidRPr="04DE1885" w:rsidR="009A57E8">
        <w:rPr>
          <w:lang w:val="en-CA" w:eastAsia="ja-JP"/>
        </w:rPr>
        <w:t>, 202</w:t>
      </w:r>
      <w:r w:rsidRPr="04DE1885" w:rsidR="00912A72">
        <w:rPr>
          <w:lang w:val="en-CA" w:eastAsia="ja-JP"/>
        </w:rPr>
        <w:t>5</w:t>
      </w:r>
      <w:r w:rsidRPr="04DE1885" w:rsidR="001209B3">
        <w:rPr>
          <w:lang w:val="en-CA" w:eastAsia="ja-JP"/>
        </w:rPr>
        <w:t xml:space="preserve">. </w:t>
      </w:r>
      <w:r w:rsidRPr="04DE1885" w:rsidR="002302B4">
        <w:rPr>
          <w:lang w:val="en-CA" w:eastAsia="ja-JP"/>
        </w:rPr>
        <w:t xml:space="preserve"> </w:t>
      </w:r>
      <w:r w:rsidRPr="04DE1885" w:rsidR="001209B3">
        <w:rPr>
          <w:lang w:val="en-CA" w:eastAsia="ja-JP"/>
        </w:rPr>
        <w:t xml:space="preserve">Its purpose is to </w:t>
      </w:r>
      <w:r w:rsidRPr="04DE1885" w:rsidR="001209B3">
        <w:rPr>
          <w:lang w:val="en-CA" w:eastAsia="ja-JP"/>
        </w:rPr>
        <w:t xml:space="preserve">present the update study to the public and to </w:t>
      </w:r>
      <w:r w:rsidRPr="04DE1885" w:rsidR="001209B3">
        <w:rPr>
          <w:lang w:val="en-CA" w:eastAsia="ja-JP"/>
        </w:rPr>
        <w:t>solicit</w:t>
      </w:r>
      <w:r w:rsidRPr="04DE1885" w:rsidR="001209B3">
        <w:rPr>
          <w:lang w:val="en-CA" w:eastAsia="ja-JP"/>
        </w:rPr>
        <w:t xml:space="preserve"> public input</w:t>
      </w:r>
      <w:r w:rsidRPr="04DE1885" w:rsidR="001209B3">
        <w:rPr>
          <w:lang w:val="en-CA" w:eastAsia="ja-JP"/>
        </w:rPr>
        <w:t xml:space="preserve">.  </w:t>
      </w:r>
      <w:r w:rsidRPr="04DE1885" w:rsidR="001209B3">
        <w:rPr>
          <w:lang w:val="en-CA" w:eastAsia="ja-JP"/>
        </w:rPr>
        <w:t xml:space="preserve">The meeting is also being held to answer any questions </w:t>
      </w:r>
      <w:r w:rsidRPr="04DE1885" w:rsidR="001209B3">
        <w:rPr>
          <w:lang w:val="en-CA" w:eastAsia="ja-JP"/>
        </w:rPr>
        <w:t>regarding</w:t>
      </w:r>
      <w:r w:rsidRPr="04DE1885" w:rsidR="001209B3">
        <w:rPr>
          <w:lang w:val="en-CA" w:eastAsia="ja-JP"/>
        </w:rPr>
        <w:t xml:space="preserve"> the study’s purpose, </w:t>
      </w:r>
      <w:r w:rsidRPr="04DE1885" w:rsidR="001209B3">
        <w:rPr>
          <w:lang w:val="en-CA" w:eastAsia="ja-JP"/>
        </w:rPr>
        <w:t>methodology</w:t>
      </w:r>
      <w:r w:rsidRPr="04DE1885" w:rsidR="001209B3">
        <w:rPr>
          <w:lang w:val="en-CA" w:eastAsia="ja-JP"/>
        </w:rPr>
        <w:t>,</w:t>
      </w:r>
      <w:r w:rsidRPr="04DE1885" w:rsidR="001209B3">
        <w:rPr>
          <w:lang w:val="en-CA" w:eastAsia="ja-JP"/>
        </w:rPr>
        <w:t xml:space="preserve"> and the proposed modifications to the </w:t>
      </w:r>
      <w:r w:rsidRPr="04DE1885" w:rsidR="005B11E1">
        <w:rPr>
          <w:lang w:val="en-CA" w:eastAsia="ja-JP"/>
        </w:rPr>
        <w:t>City</w:t>
      </w:r>
      <w:r w:rsidRPr="04DE1885" w:rsidR="001209B3">
        <w:rPr>
          <w:lang w:val="en-CA" w:eastAsia="ja-JP"/>
        </w:rPr>
        <w:t>’s D.C. by-law</w:t>
      </w:r>
      <w:r w:rsidRPr="04DE1885" w:rsidR="001209B3">
        <w:rPr>
          <w:lang w:val="en-CA" w:eastAsia="ja-JP"/>
        </w:rPr>
        <w:t xml:space="preserve"> through the formal amending by-law</w:t>
      </w:r>
      <w:r w:rsidRPr="04DE1885" w:rsidR="001209B3">
        <w:rPr>
          <w:lang w:val="en-CA" w:eastAsia="ja-JP"/>
        </w:rPr>
        <w:t>.</w:t>
      </w:r>
    </w:p>
    <w:p w:rsidRPr="00F263A1" w:rsidR="001209B3" w:rsidP="001209B3" w:rsidRDefault="001209B3" w14:paraId="019AE2D2" w14:textId="77777777">
      <w:pPr>
        <w:pStyle w:val="BodyText125"/>
        <w:rPr>
          <w:lang w:val="en-CA" w:eastAsia="ja-JP"/>
        </w:rPr>
      </w:pPr>
      <w:r w:rsidRPr="00F263A1">
        <w:rPr>
          <w:lang w:val="en-CA" w:eastAsia="ja-JP"/>
        </w:rPr>
        <w:t>The process to be followed in finalizing the report and recommendations includes:</w:t>
      </w:r>
    </w:p>
    <w:p w:rsidRPr="00F263A1" w:rsidR="001209B3" w:rsidP="001209B3" w:rsidRDefault="001209B3" w14:paraId="2DFC441E" w14:textId="77777777">
      <w:pPr>
        <w:pStyle w:val="BodyTextbullets125"/>
        <w:rPr>
          <w:lang w:val="en-CA" w:eastAsia="ja-JP"/>
        </w:rPr>
      </w:pPr>
      <w:r w:rsidRPr="00F263A1">
        <w:rPr>
          <w:lang w:val="en-CA" w:eastAsia="ja-JP"/>
        </w:rPr>
        <w:t>consideration of responses received prior to, at</w:t>
      </w:r>
      <w:r>
        <w:rPr>
          <w:lang w:val="en-CA" w:eastAsia="ja-JP"/>
        </w:rPr>
        <w:t>,</w:t>
      </w:r>
      <w:r w:rsidRPr="00F263A1">
        <w:rPr>
          <w:lang w:val="en-CA" w:eastAsia="ja-JP"/>
        </w:rPr>
        <w:t xml:space="preserve"> or immediately following the Public Meeting; and</w:t>
      </w:r>
    </w:p>
    <w:p w:rsidRPr="00FA05E4" w:rsidR="001209B3" w:rsidP="001209B3" w:rsidRDefault="001209B3" w14:paraId="41CE04B9" w14:textId="571E0F41">
      <w:pPr>
        <w:pStyle w:val="BodyTextbullets125"/>
        <w:rPr>
          <w:lang w:val="en-CA" w:eastAsia="ja-JP"/>
        </w:rPr>
      </w:pPr>
      <w:r w:rsidRPr="00091F16">
        <w:rPr>
          <w:lang w:val="en-CA" w:eastAsia="ja-JP"/>
        </w:rPr>
        <w:t xml:space="preserve">Council consideration of the amending by-law </w:t>
      </w:r>
      <w:r w:rsidR="00544A7C">
        <w:rPr>
          <w:lang w:val="en-CA" w:eastAsia="ja-JP"/>
        </w:rPr>
        <w:t xml:space="preserve">in </w:t>
      </w:r>
      <w:r w:rsidR="00A2629F">
        <w:rPr>
          <w:lang w:val="en-CA" w:eastAsia="ja-JP"/>
        </w:rPr>
        <w:t>Q1 of</w:t>
      </w:r>
      <w:r w:rsidR="00544A7C">
        <w:rPr>
          <w:lang w:val="en-CA" w:eastAsia="ja-JP"/>
        </w:rPr>
        <w:t xml:space="preserve"> 2026</w:t>
      </w:r>
      <w:r w:rsidRPr="00FA05E4">
        <w:rPr>
          <w:lang w:val="en-CA" w:eastAsia="ja-JP"/>
        </w:rPr>
        <w:t>.</w:t>
      </w:r>
    </w:p>
    <w:p w:rsidRPr="00F263A1" w:rsidR="001209B3" w:rsidP="4FA7D9DC" w:rsidRDefault="006E57DF" w14:paraId="1797F9AD" w14:textId="7168F790">
      <w:pPr>
        <w:pStyle w:val="BodyText125"/>
        <w:rPr>
          <w:lang w:eastAsia="ja-JP"/>
        </w:rPr>
      </w:pPr>
      <w:r w:rsidRPr="4FA7D9DC">
        <w:rPr>
          <w:lang w:eastAsia="ja-JP"/>
        </w:rPr>
        <w:t xml:space="preserve">Table </w:t>
      </w:r>
      <w:r w:rsidRPr="4FA7D9DC" w:rsidR="001209B3">
        <w:rPr>
          <w:lang w:eastAsia="ja-JP"/>
        </w:rPr>
        <w:t xml:space="preserve">1-2 outlines the proposed schedule to be followed with respect to the D.C. by-law adoption process for the formal amending by-law.  </w:t>
      </w:r>
    </w:p>
    <w:p w:rsidRPr="00F263A1" w:rsidR="001209B3" w:rsidP="001209B3" w:rsidRDefault="006E57DF" w14:paraId="3C521027" w14:textId="70F34142">
      <w:pPr>
        <w:pStyle w:val="FigureTableTitles"/>
      </w:pPr>
      <w:r>
        <w:t>Table</w:t>
      </w:r>
      <w:r w:rsidRPr="00F263A1">
        <w:t xml:space="preserve"> </w:t>
      </w:r>
      <w:r w:rsidRPr="00F263A1" w:rsidR="001209B3">
        <w:t>1-2</w:t>
      </w:r>
    </w:p>
    <w:p w:rsidR="001209B3" w:rsidP="001209B3" w:rsidRDefault="001209B3" w14:paraId="33428BC0" w14:textId="1EAF1C5A">
      <w:pPr>
        <w:pStyle w:val="FigureTableTitles"/>
      </w:pPr>
      <w:r w:rsidRPr="00F263A1">
        <w:t xml:space="preserve">Schedule of Key D.C. Process Dates for the </w:t>
      </w:r>
      <w:r w:rsidR="005B11E1">
        <w:t>City</w:t>
      </w:r>
      <w:r w:rsidRPr="00F263A1">
        <w:t xml:space="preserve"> of </w:t>
      </w:r>
      <w:r w:rsidR="005B11E1">
        <w:t>Cambridge</w:t>
      </w:r>
    </w:p>
    <w:tbl>
      <w:tblPr>
        <w:tblStyle w:val="Watson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0"/>
        <w:gridCol w:w="3624"/>
      </w:tblGrid>
      <w:tr w:rsidRPr="00F263A1" w:rsidR="00077584" w:rsidTr="00B54DDF" w14:paraId="38721000" w14:textId="320E15DD">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100" w:firstRow="0" w:lastRow="0" w:firstColumn="1" w:lastColumn="0" w:oddVBand="0" w:evenVBand="0" w:oddHBand="0" w:evenHBand="0" w:firstRowFirstColumn="1" w:firstRowLastColumn="0" w:lastRowFirstColumn="0" w:lastRowLastColumn="0"/>
            <w:tcW w:w="0" w:type="dxa"/>
          </w:tcPr>
          <w:p w:rsidRPr="00B60D33" w:rsidR="00AA7E0E" w:rsidRDefault="00AA7E0E" w14:paraId="1AF80797" w14:textId="77777777">
            <w:pPr>
              <w:pStyle w:val="BodyTextss"/>
              <w:spacing w:after="0"/>
              <w:rPr>
                <w:b w:val="0"/>
                <w:bCs w:val="0"/>
              </w:rPr>
            </w:pPr>
            <w:r w:rsidRPr="00B60D33">
              <w:t>Project Milestone</w:t>
            </w:r>
          </w:p>
        </w:tc>
        <w:tc>
          <w:tcPr>
            <w:tcW w:w="0" w:type="dxa"/>
          </w:tcPr>
          <w:p w:rsidRPr="00B60D33" w:rsidR="00AA7E0E" w:rsidRDefault="00AA7E0E" w14:paraId="61698A49" w14:textId="03A31642">
            <w:pPr>
              <w:pStyle w:val="BodyTextss"/>
              <w:spacing w:after="0"/>
              <w:cnfStyle w:val="100000000000" w:firstRow="1" w:lastRow="0" w:firstColumn="0" w:lastColumn="0" w:oddVBand="0" w:evenVBand="0" w:oddHBand="0" w:evenHBand="0" w:firstRowFirstColumn="0" w:firstRowLastColumn="0" w:lastRowFirstColumn="0" w:lastRowLastColumn="0"/>
              <w:rPr>
                <w:b w:val="0"/>
                <w:bCs w:val="0"/>
              </w:rPr>
            </w:pPr>
            <w:r>
              <w:t>Timing for Formal Amendment</w:t>
            </w:r>
          </w:p>
        </w:tc>
      </w:tr>
      <w:tr w:rsidRPr="00F263A1" w:rsidR="00AA7E0E" w:rsidTr="00B54DDF" w14:paraId="5A86EE85" w14:textId="28EB0BE8">
        <w:trPr>
          <w:jc w:val="center"/>
        </w:trPr>
        <w:tc>
          <w:tcPr>
            <w:cnfStyle w:val="001000000000" w:firstRow="0" w:lastRow="0" w:firstColumn="1" w:lastColumn="0" w:oddVBand="0" w:evenVBand="0" w:oddHBand="0" w:evenHBand="0" w:firstRowFirstColumn="0" w:firstRowLastColumn="0" w:lastRowFirstColumn="0" w:lastRowLastColumn="0"/>
            <w:tcW w:w="5220" w:type="dxa"/>
          </w:tcPr>
          <w:p w:rsidRPr="00F263A1" w:rsidR="00AA7E0E" w:rsidP="009B41FF" w:rsidRDefault="00AA7E0E" w14:paraId="0ADC9E4E" w14:textId="77777777">
            <w:pPr>
              <w:pStyle w:val="BodyTextss"/>
              <w:numPr>
                <w:ilvl w:val="0"/>
                <w:numId w:val="8"/>
              </w:numPr>
              <w:spacing w:after="0"/>
              <w:ind w:left="431" w:hanging="431"/>
              <w:contextualSpacing/>
            </w:pPr>
            <w:r w:rsidRPr="00F263A1">
              <w:t>Data collection, staff review, D.C. calculations and policy work</w:t>
            </w:r>
          </w:p>
        </w:tc>
        <w:tc>
          <w:tcPr>
            <w:tcW w:w="3624" w:type="dxa"/>
          </w:tcPr>
          <w:p w:rsidR="00AA7E0E" w:rsidP="00B54DDF" w:rsidRDefault="006E57DF" w14:paraId="5C3480A5" w14:textId="234B2873">
            <w:pPr>
              <w:pStyle w:val="BodyTextss"/>
              <w:spacing w:after="0"/>
              <w:contextualSpacing/>
              <w:jc w:val="left"/>
              <w:cnfStyle w:val="000000000000" w:firstRow="0" w:lastRow="0" w:firstColumn="0" w:lastColumn="0" w:oddVBand="0" w:evenVBand="0" w:oddHBand="0" w:evenHBand="0" w:firstRowFirstColumn="0" w:firstRowLastColumn="0" w:lastRowFirstColumn="0" w:lastRowLastColumn="0"/>
            </w:pPr>
            <w:r>
              <w:t xml:space="preserve">September </w:t>
            </w:r>
            <w:r w:rsidR="00AA7E0E">
              <w:t xml:space="preserve">to October </w:t>
            </w:r>
            <w:r w:rsidRPr="00F263A1" w:rsidR="00AA7E0E">
              <w:t>202</w:t>
            </w:r>
            <w:r w:rsidR="00AA7E0E">
              <w:t>5</w:t>
            </w:r>
          </w:p>
        </w:tc>
      </w:tr>
      <w:tr w:rsidRPr="00F263A1" w:rsidR="00AA7E0E" w:rsidTr="00B54DDF" w14:paraId="71FCD574" w14:textId="65383113">
        <w:trPr>
          <w:jc w:val="center"/>
        </w:trPr>
        <w:tc>
          <w:tcPr>
            <w:cnfStyle w:val="001000000000" w:firstRow="0" w:lastRow="0" w:firstColumn="1" w:lastColumn="0" w:oddVBand="0" w:evenVBand="0" w:oddHBand="0" w:evenHBand="0" w:firstRowFirstColumn="0" w:firstRowLastColumn="0" w:lastRowFirstColumn="0" w:lastRowLastColumn="0"/>
            <w:tcW w:w="5220" w:type="dxa"/>
          </w:tcPr>
          <w:p w:rsidRPr="00FA05E4" w:rsidR="00AA7E0E" w:rsidP="009B41FF" w:rsidRDefault="00AA7E0E" w14:paraId="05794594" w14:textId="77777777">
            <w:pPr>
              <w:pStyle w:val="BodyTextss"/>
              <w:numPr>
                <w:ilvl w:val="0"/>
                <w:numId w:val="8"/>
              </w:numPr>
              <w:spacing w:after="0"/>
              <w:ind w:left="431" w:hanging="431"/>
              <w:contextualSpacing/>
            </w:pPr>
            <w:r w:rsidRPr="00FA05E4">
              <w:t xml:space="preserve">Background study </w:t>
            </w:r>
            <w:r>
              <w:t xml:space="preserve">and proposed amending by-law </w:t>
            </w:r>
            <w:r w:rsidRPr="00FA05E4">
              <w:t>available to public</w:t>
            </w:r>
          </w:p>
        </w:tc>
        <w:tc>
          <w:tcPr>
            <w:tcW w:w="3624" w:type="dxa"/>
          </w:tcPr>
          <w:p w:rsidR="00AA7E0E" w:rsidP="00175340" w:rsidRDefault="00AA7E0E" w14:paraId="37BF9EC3" w14:textId="40AF6A18">
            <w:pPr>
              <w:pStyle w:val="BodyTextss"/>
              <w:spacing w:after="0"/>
              <w:contextualSpacing/>
              <w:jc w:val="left"/>
              <w:cnfStyle w:val="000000000000" w:firstRow="0" w:lastRow="0" w:firstColumn="0" w:lastColumn="0" w:oddVBand="0" w:evenVBand="0" w:oddHBand="0" w:evenHBand="0" w:firstRowFirstColumn="0" w:firstRowLastColumn="0" w:lastRowFirstColumn="0" w:lastRowLastColumn="0"/>
            </w:pPr>
            <w:r>
              <w:t>November 11, 2025</w:t>
            </w:r>
          </w:p>
        </w:tc>
      </w:tr>
      <w:tr w:rsidRPr="00F263A1" w:rsidR="00AA7E0E" w:rsidTr="00B54DDF" w14:paraId="5EFE9FA5" w14:textId="0FBADE42">
        <w:trPr>
          <w:jc w:val="center"/>
        </w:trPr>
        <w:tc>
          <w:tcPr>
            <w:cnfStyle w:val="001000000000" w:firstRow="0" w:lastRow="0" w:firstColumn="1" w:lastColumn="0" w:oddVBand="0" w:evenVBand="0" w:oddHBand="0" w:evenHBand="0" w:firstRowFirstColumn="0" w:firstRowLastColumn="0" w:lastRowFirstColumn="0" w:lastRowLastColumn="0"/>
            <w:tcW w:w="5220" w:type="dxa"/>
          </w:tcPr>
          <w:p w:rsidRPr="00FA05E4" w:rsidR="00AA7E0E" w:rsidP="0088614D" w:rsidRDefault="00AA7E0E" w14:paraId="0B95B675" w14:textId="77777777">
            <w:pPr>
              <w:pStyle w:val="BodyTextss"/>
              <w:numPr>
                <w:ilvl w:val="0"/>
                <w:numId w:val="8"/>
              </w:numPr>
              <w:spacing w:after="0"/>
              <w:ind w:left="431" w:hanging="431"/>
              <w:contextualSpacing/>
            </w:pPr>
            <w:r w:rsidRPr="00FA05E4">
              <w:t>Public meeting advertisement placed in newspaper(s)</w:t>
            </w:r>
          </w:p>
        </w:tc>
        <w:tc>
          <w:tcPr>
            <w:tcW w:w="3624" w:type="dxa"/>
          </w:tcPr>
          <w:p w:rsidRPr="00091F16" w:rsidR="00AA7E0E" w:rsidP="00175340" w:rsidRDefault="00AA7E0E" w14:paraId="0EED5595" w14:textId="6E33C15C">
            <w:pPr>
              <w:pStyle w:val="BodyTextss"/>
              <w:spacing w:after="0"/>
              <w:contextualSpacing/>
              <w:jc w:val="left"/>
              <w:cnfStyle w:val="000000000000" w:firstRow="0" w:lastRow="0" w:firstColumn="0" w:lastColumn="0" w:oddVBand="0" w:evenVBand="0" w:oddHBand="0" w:evenHBand="0" w:firstRowFirstColumn="0" w:firstRowLastColumn="0" w:lastRowFirstColumn="0" w:lastRowLastColumn="0"/>
            </w:pPr>
            <w:r w:rsidRPr="00091F16">
              <w:t>At least 20 days prior to the Public Meeting</w:t>
            </w:r>
          </w:p>
        </w:tc>
      </w:tr>
      <w:tr w:rsidRPr="00F263A1" w:rsidR="00AA7E0E" w:rsidTr="00B54DDF" w14:paraId="123250F0" w14:textId="41F8F32B">
        <w:trPr>
          <w:jc w:val="center"/>
        </w:trPr>
        <w:tc>
          <w:tcPr>
            <w:cnfStyle w:val="001000000000" w:firstRow="0" w:lastRow="0" w:firstColumn="1" w:lastColumn="0" w:oddVBand="0" w:evenVBand="0" w:oddHBand="0" w:evenHBand="0" w:firstRowFirstColumn="0" w:firstRowLastColumn="0" w:lastRowFirstColumn="0" w:lastRowLastColumn="0"/>
            <w:tcW w:w="5220" w:type="dxa"/>
          </w:tcPr>
          <w:p w:rsidRPr="00FA05E4" w:rsidR="00AA7E0E" w:rsidP="0088614D" w:rsidRDefault="00AA7E0E" w14:paraId="693F5355" w14:textId="77777777">
            <w:pPr>
              <w:pStyle w:val="BodyTextss"/>
              <w:numPr>
                <w:ilvl w:val="0"/>
                <w:numId w:val="8"/>
              </w:numPr>
              <w:spacing w:after="0"/>
              <w:ind w:left="431" w:hanging="431"/>
              <w:contextualSpacing/>
            </w:pPr>
            <w:r w:rsidRPr="00FA05E4">
              <w:t>Public meeting of Council</w:t>
            </w:r>
          </w:p>
        </w:tc>
        <w:tc>
          <w:tcPr>
            <w:tcW w:w="3624" w:type="dxa"/>
          </w:tcPr>
          <w:p w:rsidRPr="005F7502" w:rsidR="00AA7E0E" w:rsidP="00175340" w:rsidRDefault="00AA7E0E" w14:paraId="0695A1C0" w14:textId="7484A5D3">
            <w:pPr>
              <w:pStyle w:val="BodyTextss"/>
              <w:spacing w:after="0"/>
              <w:contextualSpacing/>
              <w:jc w:val="left"/>
              <w:cnfStyle w:val="000000000000" w:firstRow="0" w:lastRow="0" w:firstColumn="0" w:lastColumn="0" w:oddVBand="0" w:evenVBand="0" w:oddHBand="0" w:evenHBand="0" w:firstRowFirstColumn="0" w:firstRowLastColumn="0" w:lastRowFirstColumn="0" w:lastRowLastColumn="0"/>
            </w:pPr>
            <w:r w:rsidRPr="005F7502">
              <w:t xml:space="preserve">November </w:t>
            </w:r>
            <w:r>
              <w:t>25</w:t>
            </w:r>
            <w:r w:rsidRPr="005F7502">
              <w:t>, 202</w:t>
            </w:r>
            <w:r>
              <w:t>5</w:t>
            </w:r>
          </w:p>
        </w:tc>
      </w:tr>
      <w:tr w:rsidRPr="00F263A1" w:rsidR="00AA7E0E" w:rsidTr="00B54DDF" w14:paraId="124A2678" w14:textId="356AF028">
        <w:trPr>
          <w:jc w:val="center"/>
        </w:trPr>
        <w:tc>
          <w:tcPr>
            <w:cnfStyle w:val="001000000000" w:firstRow="0" w:lastRow="0" w:firstColumn="1" w:lastColumn="0" w:oddVBand="0" w:evenVBand="0" w:oddHBand="0" w:evenHBand="0" w:firstRowFirstColumn="0" w:firstRowLastColumn="0" w:lastRowFirstColumn="0" w:lastRowLastColumn="0"/>
            <w:tcW w:w="5220" w:type="dxa"/>
          </w:tcPr>
          <w:p w:rsidRPr="00F263A1" w:rsidR="00AA7E0E" w:rsidP="0088614D" w:rsidRDefault="00AA7E0E" w14:paraId="2F57C42E" w14:textId="605FBB30">
            <w:pPr>
              <w:pStyle w:val="BodyTextss"/>
              <w:numPr>
                <w:ilvl w:val="0"/>
                <w:numId w:val="8"/>
              </w:numPr>
              <w:spacing w:after="0"/>
              <w:ind w:left="431" w:hanging="431"/>
              <w:contextualSpacing/>
            </w:pPr>
            <w:r w:rsidRPr="00F263A1">
              <w:t>Council considers adoption of background study</w:t>
            </w:r>
            <w:r>
              <w:t xml:space="preserve"> update</w:t>
            </w:r>
            <w:r w:rsidRPr="00F263A1">
              <w:t xml:space="preserve"> and passage of </w:t>
            </w:r>
            <w:r>
              <w:t xml:space="preserve">amending </w:t>
            </w:r>
            <w:r w:rsidRPr="00F263A1">
              <w:t>by-law</w:t>
            </w:r>
          </w:p>
        </w:tc>
        <w:tc>
          <w:tcPr>
            <w:tcW w:w="3624" w:type="dxa"/>
          </w:tcPr>
          <w:p w:rsidRPr="00AA7E0E" w:rsidR="00AA7E0E" w:rsidP="00175340" w:rsidRDefault="00544A7C" w14:paraId="628C0B37" w14:textId="2AFEC314">
            <w:pPr>
              <w:pStyle w:val="BodyTextss"/>
              <w:spacing w:after="0"/>
              <w:contextualSpacing/>
              <w:jc w:val="left"/>
              <w:cnfStyle w:val="000000000000" w:firstRow="0" w:lastRow="0" w:firstColumn="0" w:lastColumn="0" w:oddVBand="0" w:evenVBand="0" w:oddHBand="0" w:evenHBand="0" w:firstRowFirstColumn="0" w:firstRowLastColumn="0" w:lastRowFirstColumn="0" w:lastRowLastColumn="0"/>
              <w:rPr>
                <w:highlight w:val="yellow"/>
              </w:rPr>
            </w:pPr>
            <w:r w:rsidRPr="00A2629F">
              <w:t>Q1 2026 (at least 60 days after November 11, 2025)</w:t>
            </w:r>
          </w:p>
        </w:tc>
      </w:tr>
      <w:tr w:rsidRPr="00F263A1" w:rsidR="00AA7E0E" w:rsidTr="00B54DDF" w14:paraId="12EFCD82" w14:textId="31973145">
        <w:trPr>
          <w:jc w:val="center"/>
        </w:trPr>
        <w:tc>
          <w:tcPr>
            <w:cnfStyle w:val="001000000000" w:firstRow="0" w:lastRow="0" w:firstColumn="1" w:lastColumn="0" w:oddVBand="0" w:evenVBand="0" w:oddHBand="0" w:evenHBand="0" w:firstRowFirstColumn="0" w:firstRowLastColumn="0" w:lastRowFirstColumn="0" w:lastRowLastColumn="0"/>
            <w:tcW w:w="5220" w:type="dxa"/>
          </w:tcPr>
          <w:p w:rsidRPr="00F263A1" w:rsidR="00AA7E0E" w:rsidP="0088614D" w:rsidRDefault="00AA7E0E" w14:paraId="41B27AAC" w14:textId="77777777">
            <w:pPr>
              <w:pStyle w:val="BodyTextss"/>
              <w:numPr>
                <w:ilvl w:val="0"/>
                <w:numId w:val="8"/>
              </w:numPr>
              <w:spacing w:after="0"/>
              <w:ind w:left="431" w:hanging="431"/>
              <w:contextualSpacing/>
            </w:pPr>
            <w:r w:rsidRPr="00F263A1">
              <w:t>Newspaper notice given of by-law passage</w:t>
            </w:r>
          </w:p>
        </w:tc>
        <w:tc>
          <w:tcPr>
            <w:tcW w:w="3624" w:type="dxa"/>
          </w:tcPr>
          <w:p w:rsidRPr="00F263A1" w:rsidR="00AA7E0E" w:rsidP="00175340" w:rsidRDefault="00AA7E0E" w14:paraId="1049FA50" w14:textId="5CBC3C52">
            <w:pPr>
              <w:pStyle w:val="BodyTextss"/>
              <w:spacing w:after="0"/>
              <w:contextualSpacing/>
              <w:jc w:val="left"/>
              <w:cnfStyle w:val="000000000000" w:firstRow="0" w:lastRow="0" w:firstColumn="0" w:lastColumn="0" w:oddVBand="0" w:evenVBand="0" w:oddHBand="0" w:evenHBand="0" w:firstRowFirstColumn="0" w:firstRowLastColumn="0" w:lastRowFirstColumn="0" w:lastRowLastColumn="0"/>
            </w:pPr>
            <w:r w:rsidRPr="00F263A1">
              <w:t>By 20 days after passage</w:t>
            </w:r>
          </w:p>
        </w:tc>
      </w:tr>
      <w:tr w:rsidRPr="00F263A1" w:rsidR="00AA7E0E" w:rsidTr="00B54DDF" w14:paraId="392D038E" w14:textId="0114852A">
        <w:trPr>
          <w:jc w:val="center"/>
        </w:trPr>
        <w:tc>
          <w:tcPr>
            <w:cnfStyle w:val="001000000000" w:firstRow="0" w:lastRow="0" w:firstColumn="1" w:lastColumn="0" w:oddVBand="0" w:evenVBand="0" w:oddHBand="0" w:evenHBand="0" w:firstRowFirstColumn="0" w:firstRowLastColumn="0" w:lastRowFirstColumn="0" w:lastRowLastColumn="0"/>
            <w:tcW w:w="5220" w:type="dxa"/>
          </w:tcPr>
          <w:p w:rsidRPr="00F263A1" w:rsidR="00AA7E0E" w:rsidP="0088614D" w:rsidRDefault="00AA7E0E" w14:paraId="14ABB68B" w14:textId="77777777">
            <w:pPr>
              <w:pStyle w:val="BodyTextss"/>
              <w:numPr>
                <w:ilvl w:val="0"/>
                <w:numId w:val="8"/>
              </w:numPr>
              <w:spacing w:after="0"/>
              <w:ind w:left="431" w:hanging="431"/>
              <w:contextualSpacing/>
            </w:pPr>
            <w:r w:rsidRPr="00F263A1">
              <w:t>Last day for by-law appeal</w:t>
            </w:r>
          </w:p>
        </w:tc>
        <w:tc>
          <w:tcPr>
            <w:tcW w:w="3624" w:type="dxa"/>
          </w:tcPr>
          <w:p w:rsidRPr="00F263A1" w:rsidR="00AA7E0E" w:rsidP="00175340" w:rsidRDefault="00AA7E0E" w14:paraId="0B455548" w14:textId="03AE9E94">
            <w:pPr>
              <w:pStyle w:val="BodyTextss"/>
              <w:spacing w:after="0"/>
              <w:contextualSpacing/>
              <w:jc w:val="left"/>
              <w:cnfStyle w:val="000000000000" w:firstRow="0" w:lastRow="0" w:firstColumn="0" w:lastColumn="0" w:oddVBand="0" w:evenVBand="0" w:oddHBand="0" w:evenHBand="0" w:firstRowFirstColumn="0" w:firstRowLastColumn="0" w:lastRowFirstColumn="0" w:lastRowLastColumn="0"/>
            </w:pPr>
            <w:r w:rsidRPr="00F263A1">
              <w:t>40 days after passage</w:t>
            </w:r>
          </w:p>
        </w:tc>
      </w:tr>
      <w:tr w:rsidRPr="00F263A1" w:rsidR="00AA7E0E" w:rsidTr="00B54DDF" w14:paraId="3EDE261F" w14:textId="7DE56765">
        <w:trPr>
          <w:jc w:val="center"/>
        </w:trPr>
        <w:tc>
          <w:tcPr>
            <w:cnfStyle w:val="001000000000" w:firstRow="0" w:lastRow="0" w:firstColumn="1" w:lastColumn="0" w:oddVBand="0" w:evenVBand="0" w:oddHBand="0" w:evenHBand="0" w:firstRowFirstColumn="0" w:firstRowLastColumn="0" w:lastRowFirstColumn="0" w:lastRowLastColumn="0"/>
            <w:tcW w:w="5220" w:type="dxa"/>
          </w:tcPr>
          <w:p w:rsidRPr="00F263A1" w:rsidR="00AA7E0E" w:rsidP="0088614D" w:rsidRDefault="00AA7E0E" w14:paraId="0EEE2A44" w14:textId="19D4562D">
            <w:pPr>
              <w:pStyle w:val="BodyTextss"/>
              <w:numPr>
                <w:ilvl w:val="0"/>
                <w:numId w:val="8"/>
              </w:numPr>
              <w:spacing w:after="0"/>
              <w:ind w:left="431" w:hanging="431"/>
              <w:contextualSpacing/>
            </w:pPr>
            <w:r>
              <w:t>City</w:t>
            </w:r>
            <w:r w:rsidRPr="00F263A1">
              <w:t xml:space="preserve"> </w:t>
            </w:r>
            <w:r>
              <w:t>updates</w:t>
            </w:r>
            <w:r w:rsidRPr="00F263A1">
              <w:t xml:space="preserve"> pamphlet (where by-law not appealed)</w:t>
            </w:r>
          </w:p>
        </w:tc>
        <w:tc>
          <w:tcPr>
            <w:tcW w:w="3624" w:type="dxa"/>
          </w:tcPr>
          <w:p w:rsidRPr="00F263A1" w:rsidR="00AA7E0E" w:rsidP="00175340" w:rsidRDefault="00AA7E0E" w14:paraId="64BC9AE4" w14:textId="553B0A5E">
            <w:pPr>
              <w:pStyle w:val="BodyTextss"/>
              <w:spacing w:after="0"/>
              <w:contextualSpacing/>
              <w:jc w:val="left"/>
              <w:cnfStyle w:val="000000000000" w:firstRow="0" w:lastRow="0" w:firstColumn="0" w:lastColumn="0" w:oddVBand="0" w:evenVBand="0" w:oddHBand="0" w:evenHBand="0" w:firstRowFirstColumn="0" w:firstRowLastColumn="0" w:lastRowFirstColumn="0" w:lastRowLastColumn="0"/>
            </w:pPr>
            <w:r w:rsidRPr="00F263A1">
              <w:t xml:space="preserve">By 60 days after </w:t>
            </w:r>
            <w:proofErr w:type="gramStart"/>
            <w:r w:rsidRPr="00F263A1">
              <w:t>in</w:t>
            </w:r>
            <w:proofErr w:type="gramEnd"/>
            <w:r w:rsidRPr="00F263A1">
              <w:t xml:space="preserve"> force date</w:t>
            </w:r>
          </w:p>
        </w:tc>
      </w:tr>
    </w:tbl>
    <w:p w:rsidRPr="00F263A1" w:rsidR="001209B3" w:rsidP="001209B3" w:rsidRDefault="001209B3" w14:paraId="6B694767" w14:textId="77777777">
      <w:pPr>
        <w:pStyle w:val="BodyText125"/>
        <w:spacing w:after="0"/>
        <w:jc w:val="center"/>
        <w:rPr>
          <w:lang w:val="en-CA" w:eastAsia="ja-JP"/>
        </w:rPr>
      </w:pPr>
    </w:p>
    <w:p w:rsidR="00652FE4" w:rsidP="00652FE4" w:rsidRDefault="00652FE4" w14:paraId="0D9C4613" w14:textId="749B92E1">
      <w:pPr>
        <w:pStyle w:val="Heading2"/>
        <w:rPr>
          <w:lang w:val="en-CA"/>
        </w:rPr>
      </w:pPr>
      <w:bookmarkStart w:name="_Toc213674173" w:id="10"/>
      <w:r>
        <w:rPr>
          <w:lang w:val="en-CA"/>
        </w:rPr>
        <w:t>Policy Recommendations</w:t>
      </w:r>
      <w:bookmarkEnd w:id="10"/>
    </w:p>
    <w:p w:rsidR="001C6561" w:rsidP="00B54DDF" w:rsidRDefault="00B32CAE" w14:paraId="39AB80DA" w14:textId="4DD29CA2">
      <w:pPr>
        <w:pStyle w:val="BodyText125"/>
        <w:rPr>
          <w:lang w:val="en-CA"/>
        </w:rPr>
      </w:pPr>
      <w:r>
        <w:rPr>
          <w:lang w:val="en-CA"/>
        </w:rPr>
        <w:t>D.C. policies related to the legislative changes provided through Bill 17</w:t>
      </w:r>
      <w:r w:rsidR="00987B95">
        <w:rPr>
          <w:lang w:val="en-CA"/>
        </w:rPr>
        <w:t xml:space="preserve"> are recommended to be updated to align with the Act.  This is discussed further in Chapter 2.  All other current City D.C. policies, as identified in Appendix A of this </w:t>
      </w:r>
      <w:r w:rsidR="000E71F8">
        <w:rPr>
          <w:lang w:val="en-CA"/>
        </w:rPr>
        <w:t xml:space="preserve">report are recommended to be continued. </w:t>
      </w:r>
      <w:r w:rsidR="001C6561">
        <w:rPr>
          <w:lang w:val="en-CA"/>
        </w:rPr>
        <w:br w:type="page"/>
      </w:r>
    </w:p>
    <w:p w:rsidR="001C6561" w:rsidP="000A0CE8" w:rsidRDefault="001C6561" w14:paraId="62E2E59D" w14:textId="77777777">
      <w:pPr>
        <w:pStyle w:val="BodyText125"/>
        <w:rPr>
          <w:lang w:val="en-CA"/>
        </w:rPr>
        <w:sectPr w:rsidR="001C6561" w:rsidSect="003467BE">
          <w:footerReference w:type="default" r:id="rId31"/>
          <w:footerReference w:type="first" r:id="rId32"/>
          <w:footnotePr>
            <w:numRestart w:val="eachPage"/>
          </w:footnotePr>
          <w:pgSz w:w="12240" w:h="15840" w:orient="portrait" w:code="1"/>
          <w:pgMar w:top="1440" w:right="1440" w:bottom="1440" w:left="1440" w:header="432" w:footer="619" w:gutter="0"/>
          <w:pgNumType w:start="1"/>
          <w:cols w:space="708"/>
          <w:titlePg/>
          <w:docGrid w:linePitch="360"/>
        </w:sectPr>
      </w:pPr>
    </w:p>
    <w:p w:rsidR="001C6561" w:rsidP="001C6561" w:rsidRDefault="001C6561" w14:paraId="3937B155" w14:textId="77777777">
      <w:pPr>
        <w:pStyle w:val="FigureTableTitles"/>
        <w:rPr>
          <w:lang w:val="en-CA"/>
        </w:rPr>
      </w:pPr>
      <w:r>
        <w:rPr>
          <w:lang w:val="en-CA"/>
        </w:rPr>
        <w:t>Table 1-1</w:t>
      </w:r>
    </w:p>
    <w:p w:rsidR="001C6561" w:rsidP="001C6561" w:rsidRDefault="005B11E1" w14:paraId="289AE046" w14:textId="4A23A51B">
      <w:pPr>
        <w:pStyle w:val="FigureTableTitles"/>
        <w:rPr>
          <w:lang w:val="en-CA"/>
        </w:rPr>
      </w:pPr>
      <w:r>
        <w:rPr>
          <w:lang w:val="en-CA"/>
        </w:rPr>
        <w:t>City</w:t>
      </w:r>
      <w:r w:rsidR="001C6561">
        <w:rPr>
          <w:lang w:val="en-CA"/>
        </w:rPr>
        <w:t xml:space="preserve"> of </w:t>
      </w:r>
      <w:r>
        <w:rPr>
          <w:lang w:val="en-CA"/>
        </w:rPr>
        <w:t>Cambridge</w:t>
      </w:r>
    </w:p>
    <w:p w:rsidR="001C6561" w:rsidP="001C6561" w:rsidRDefault="001C6561" w14:paraId="589AA177" w14:textId="1BDD2892">
      <w:pPr>
        <w:pStyle w:val="FigureTableTitles"/>
        <w:rPr>
          <w:lang w:val="en-CA"/>
        </w:rPr>
      </w:pPr>
      <w:r>
        <w:rPr>
          <w:lang w:val="en-CA"/>
        </w:rPr>
        <w:t>Development Charges as per By-law</w:t>
      </w:r>
      <w:r w:rsidR="00FE519A">
        <w:rPr>
          <w:lang w:val="en-CA"/>
        </w:rPr>
        <w:t>s 24-040 through 24-047</w:t>
      </w:r>
      <w:r w:rsidR="00CF1C70">
        <w:rPr>
          <w:lang w:val="en-CA"/>
        </w:rPr>
        <w:t xml:space="preserve"> (as amended)</w:t>
      </w:r>
    </w:p>
    <w:p w:rsidR="001C6561" w:rsidP="001C6561" w:rsidRDefault="001C6561" w14:paraId="3F31295F" w14:textId="77777777">
      <w:pPr>
        <w:pStyle w:val="FigureTableTitles"/>
        <w:rPr>
          <w:lang w:val="en-CA"/>
        </w:rPr>
      </w:pPr>
      <w:r>
        <w:rPr>
          <w:lang w:val="en-CA"/>
        </w:rPr>
        <w:t>(2023$)</w:t>
      </w:r>
    </w:p>
    <w:p w:rsidRPr="00FE519A" w:rsidR="005571B6" w:rsidP="00FE519A" w:rsidRDefault="00BB207A" w14:paraId="3D4C002E" w14:textId="2926D36B">
      <w:pPr>
        <w:pStyle w:val="BodyText125"/>
        <w:jc w:val="center"/>
        <w:rPr>
          <w:b/>
          <w:bCs/>
        </w:rPr>
        <w:sectPr w:rsidRPr="00FE519A" w:rsidR="005571B6" w:rsidSect="001C6561">
          <w:footnotePr>
            <w:numRestart w:val="eachPage"/>
          </w:footnotePr>
          <w:pgSz w:w="15840" w:h="12240" w:orient="landscape" w:code="1"/>
          <w:pgMar w:top="1440" w:right="1440" w:bottom="1440" w:left="1440" w:header="432" w:footer="619" w:gutter="0"/>
          <w:cols w:space="708"/>
          <w:titlePg/>
          <w:docGrid w:linePitch="360"/>
        </w:sectPr>
      </w:pPr>
      <w:r w:rsidRPr="00BB207A">
        <w:rPr>
          <w:noProof/>
        </w:rPr>
        <w:drawing>
          <wp:inline distT="0" distB="0" distL="0" distR="0" wp14:anchorId="6C1AEBD9" wp14:editId="3A002DEA">
            <wp:extent cx="8229600" cy="2708910"/>
            <wp:effectExtent l="0" t="0" r="0" b="0"/>
            <wp:docPr id="95760600" name="Picture 5" descr="Development Charges as per By-laws 24-040 through 24-047 (as amended)&#10;(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0600" name="Picture 5" descr="Development Charges as per By-laws 24-040 through 24-047 (as amended)&#10;(2023$)&#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2708910"/>
                    </a:xfrm>
                    <a:prstGeom prst="rect">
                      <a:avLst/>
                    </a:prstGeom>
                    <a:noFill/>
                    <a:ln>
                      <a:noFill/>
                    </a:ln>
                  </pic:spPr>
                </pic:pic>
              </a:graphicData>
            </a:graphic>
          </wp:inline>
        </w:drawing>
      </w:r>
    </w:p>
    <w:p w:rsidRPr="0015322B" w:rsidR="00FB402B" w:rsidP="00FB402B" w:rsidRDefault="00FB402B" w14:paraId="1A7AB022" w14:textId="77777777">
      <w:pPr>
        <w:pStyle w:val="ChapterDividers"/>
        <w:rPr>
          <w:noProof w:val="0"/>
          <w:lang w:val="en-CA"/>
        </w:rPr>
      </w:pPr>
      <w:bookmarkStart w:name="_Toc520822906" w:id="11"/>
      <w:bookmarkStart w:name="_Toc520910951" w:id="12"/>
      <w:bookmarkStart w:name="_Toc520911332" w:id="13"/>
      <w:bookmarkEnd w:id="6"/>
      <w:r w:rsidRPr="0015322B">
        <w:rPr>
          <w:noProof w:val="0"/>
          <w:lang w:val="en-CA"/>
        </w:rPr>
        <w:t xml:space="preserve">Chapter </w:t>
      </w:r>
      <w:r>
        <w:rPr>
          <w:noProof w:val="0"/>
          <w:lang w:val="en-CA"/>
        </w:rPr>
        <w:t>2</w:t>
      </w:r>
    </w:p>
    <w:p w:rsidR="00FB402B" w:rsidP="00FB402B" w:rsidRDefault="00FB402B" w14:paraId="55CCB8F3" w14:textId="5791CF0C">
      <w:pPr>
        <w:pStyle w:val="ChapterDividersTitle"/>
        <w:rPr>
          <w:noProof w:val="0"/>
          <w:lang w:val="en-CA"/>
        </w:rPr>
        <w:sectPr w:rsidR="00FB402B" w:rsidSect="009A60F6">
          <w:footerReference w:type="default" r:id="rId34"/>
          <w:footerReference w:type="first" r:id="rId35"/>
          <w:footnotePr>
            <w:numRestart w:val="eachPage"/>
          </w:footnotePr>
          <w:pgSz w:w="12240" w:h="15840" w:orient="portrait" w:code="1"/>
          <w:pgMar w:top="1440" w:right="1440" w:bottom="1440" w:left="1440" w:header="432" w:footer="619" w:gutter="0"/>
          <w:cols w:space="708"/>
          <w:titlePg/>
          <w:docGrid w:linePitch="360"/>
        </w:sectPr>
      </w:pPr>
      <w:r>
        <w:rPr>
          <w:noProof w:val="0"/>
          <w:lang w:val="en-CA"/>
        </w:rPr>
        <w:t xml:space="preserve">Changes to the </w:t>
      </w:r>
      <w:r w:rsidRPr="00B54DDF">
        <w:rPr>
          <w:i/>
          <w:iCs/>
          <w:noProof w:val="0"/>
          <w:lang w:val="en-CA"/>
        </w:rPr>
        <w:t>D</w:t>
      </w:r>
      <w:r w:rsidRPr="00B54DDF" w:rsidR="001B33F1">
        <w:rPr>
          <w:i/>
          <w:iCs/>
          <w:noProof w:val="0"/>
          <w:lang w:val="en-CA"/>
        </w:rPr>
        <w:t>evelopment Charges Act</w:t>
      </w:r>
      <w:r w:rsidR="001B33F1">
        <w:rPr>
          <w:i/>
          <w:iCs/>
          <w:noProof w:val="0"/>
          <w:lang w:val="en-CA"/>
        </w:rPr>
        <w:t>, 1997</w:t>
      </w:r>
      <w:r w:rsidRPr="00B54DDF">
        <w:rPr>
          <w:i/>
          <w:iCs/>
          <w:noProof w:val="0"/>
          <w:lang w:val="en-CA"/>
        </w:rPr>
        <w:t xml:space="preserve"> </w:t>
      </w:r>
    </w:p>
    <w:p w:rsidR="00FB402B" w:rsidP="000E71F8" w:rsidRDefault="000E71F8" w14:paraId="08550A7F" w14:textId="238EF4EB">
      <w:pPr>
        <w:pStyle w:val="Heading1"/>
        <w:rPr>
          <w:lang w:val="en-CA"/>
        </w:rPr>
      </w:pPr>
      <w:bookmarkStart w:name="_Toc213674174" w:id="14"/>
      <w:r>
        <w:rPr>
          <w:lang w:val="en-CA"/>
        </w:rPr>
        <w:t xml:space="preserve">Changes to the </w:t>
      </w:r>
      <w:r w:rsidRPr="00B54DDF">
        <w:rPr>
          <w:i/>
          <w:iCs/>
          <w:lang w:val="en-CA"/>
        </w:rPr>
        <w:t>D</w:t>
      </w:r>
      <w:r w:rsidRPr="00B54DDF" w:rsidR="001B33F1">
        <w:rPr>
          <w:i/>
          <w:iCs/>
          <w:lang w:val="en-CA"/>
        </w:rPr>
        <w:t>evelopment Charges Act, 1997</w:t>
      </w:r>
      <w:bookmarkEnd w:id="14"/>
      <w:r>
        <w:rPr>
          <w:lang w:val="en-CA"/>
        </w:rPr>
        <w:t xml:space="preserve"> </w:t>
      </w:r>
    </w:p>
    <w:p w:rsidR="004A2A51" w:rsidP="4FA7D9DC" w:rsidRDefault="004A2A51" w14:paraId="1DCF9A33" w14:textId="078B5949">
      <w:pPr>
        <w:pStyle w:val="BodyText125"/>
        <w:rPr>
          <w:lang w:eastAsia="ja-JP"/>
        </w:rPr>
      </w:pPr>
      <w:r w:rsidRPr="4FA7D9DC">
        <w:rPr>
          <w:lang w:eastAsia="ja-JP"/>
        </w:rPr>
        <w:t xml:space="preserve">On May 12, 2025, the Province released </w:t>
      </w:r>
      <w:r w:rsidRPr="4FA7D9DC">
        <w:rPr>
          <w:i/>
          <w:iCs/>
          <w:lang w:eastAsia="ja-JP"/>
        </w:rPr>
        <w:t>Bill 17: Protect Ontario by Building Faster and Smarter Act, 2025</w:t>
      </w:r>
      <w:r w:rsidRPr="4FA7D9DC">
        <w:rPr>
          <w:lang w:eastAsia="ja-JP"/>
        </w:rPr>
        <w:t xml:space="preserve">.  </w:t>
      </w:r>
      <w:proofErr w:type="gramStart"/>
      <w:r w:rsidRPr="4FA7D9DC">
        <w:rPr>
          <w:lang w:eastAsia="ja-JP"/>
        </w:rPr>
        <w:t>The Bill</w:t>
      </w:r>
      <w:proofErr w:type="gramEnd"/>
      <w:r w:rsidRPr="4FA7D9DC">
        <w:rPr>
          <w:lang w:eastAsia="ja-JP"/>
        </w:rPr>
        <w:t xml:space="preserve"> received Royal Assent on June 5, 2025.  This Bill introduces additional exemptions, changes to the timing of payment for residential D.C.</w:t>
      </w:r>
      <w:proofErr w:type="gramStart"/>
      <w:r w:rsidRPr="4FA7D9DC">
        <w:rPr>
          <w:lang w:eastAsia="ja-JP"/>
        </w:rPr>
        <w:t>s, and</w:t>
      </w:r>
      <w:proofErr w:type="gramEnd"/>
      <w:r w:rsidRPr="4FA7D9DC">
        <w:rPr>
          <w:lang w:eastAsia="ja-JP"/>
        </w:rPr>
        <w:t xml:space="preserve"> provides regulatory authority to make future changes.  </w:t>
      </w:r>
      <w:r w:rsidRPr="4FA7D9DC" w:rsidR="00465FFA">
        <w:rPr>
          <w:lang w:eastAsia="ja-JP"/>
        </w:rPr>
        <w:t>The following subsections provide a summary of the changes:</w:t>
      </w:r>
    </w:p>
    <w:p w:rsidR="008641E5" w:rsidP="008641E5" w:rsidRDefault="008641E5" w14:paraId="7999B604" w14:textId="77777777">
      <w:pPr>
        <w:pStyle w:val="BodyText125"/>
        <w:numPr>
          <w:ilvl w:val="0"/>
          <w:numId w:val="32"/>
        </w:numPr>
        <w:rPr>
          <w:b/>
          <w:bCs/>
        </w:rPr>
      </w:pPr>
      <w:r>
        <w:rPr>
          <w:b/>
          <w:bCs/>
        </w:rPr>
        <w:t xml:space="preserve">Deferral of Residential D.C. Payments to Occupancy </w:t>
      </w:r>
    </w:p>
    <w:p w:rsidR="008641E5" w:rsidP="008641E5" w:rsidRDefault="008641E5" w14:paraId="18E8B5EF" w14:textId="0A300D2B">
      <w:pPr>
        <w:pStyle w:val="BodyText125"/>
        <w:ind w:left="720"/>
      </w:pPr>
      <w:r>
        <w:t xml:space="preserve">Changes to section 26.1 of the D.C.A. provide that a D.C. payable for residential development (other than rental housing developments, which are subject to payment in instalments) </w:t>
      </w:r>
      <w:r w:rsidR="00B0428B">
        <w:t xml:space="preserve">are </w:t>
      </w:r>
      <w:r>
        <w:t xml:space="preserve">payable upon the earlier of the issuance of an occupancy permit, or the day the building is first occupied.  Only under circumstances prescribed in the regulations may the municipality require </w:t>
      </w:r>
      <w:proofErr w:type="gramStart"/>
      <w:r>
        <w:t>a financial</w:t>
      </w:r>
      <w:proofErr w:type="gramEnd"/>
      <w:r>
        <w:t xml:space="preserve"> security.  As such, the prescribed circumstances may allow for </w:t>
      </w:r>
      <w:proofErr w:type="gramStart"/>
      <w:r>
        <w:t>securities</w:t>
      </w:r>
      <w:proofErr w:type="gramEnd"/>
      <w:r>
        <w:t xml:space="preserve"> when no occupancy permit is required.</w:t>
      </w:r>
    </w:p>
    <w:p w:rsidR="008641E5" w:rsidP="008641E5" w:rsidRDefault="008641E5" w14:paraId="32985CAE" w14:textId="0EFCED7A">
      <w:pPr>
        <w:pStyle w:val="BodyText125"/>
        <w:ind w:left="720"/>
      </w:pPr>
      <w:r>
        <w:t xml:space="preserve">Municipalities </w:t>
      </w:r>
      <w:r w:rsidR="002D7C8C">
        <w:t>shall not</w:t>
      </w:r>
      <w:r>
        <w:t xml:space="preserve"> impose interest on the deferral of D.C.  payment to occupancy.</w:t>
      </w:r>
    </w:p>
    <w:p w:rsidR="008641E5" w:rsidP="008641E5" w:rsidRDefault="008641E5" w14:paraId="1A28444C" w14:textId="77777777">
      <w:pPr>
        <w:pStyle w:val="BodyText125"/>
        <w:numPr>
          <w:ilvl w:val="0"/>
          <w:numId w:val="32"/>
        </w:numPr>
        <w:rPr>
          <w:b/>
          <w:bCs/>
        </w:rPr>
      </w:pPr>
      <w:r>
        <w:rPr>
          <w:b/>
          <w:bCs/>
        </w:rPr>
        <w:t>Removal of Interest for Legislated Instalments</w:t>
      </w:r>
    </w:p>
    <w:p w:rsidR="008641E5" w:rsidP="008641E5" w:rsidRDefault="00B0428B" w14:paraId="15D0DD38" w14:textId="1EA11D1A">
      <w:pPr>
        <w:pStyle w:val="BodyText125"/>
        <w:ind w:left="720"/>
      </w:pPr>
      <w:r>
        <w:t>C</w:t>
      </w:r>
      <w:r w:rsidR="008641E5">
        <w:t>hanges to section 26.1 of the Act remove</w:t>
      </w:r>
      <w:r w:rsidR="002D7C8C">
        <w:t xml:space="preserve"> </w:t>
      </w:r>
      <w:r w:rsidR="008641E5">
        <w:t>the ability to charge interest on instalments for rental housing and institutional development.  This also appl</w:t>
      </w:r>
      <w:r w:rsidR="00BF6C0B">
        <w:t>ies</w:t>
      </w:r>
      <w:r w:rsidR="008641E5">
        <w:t xml:space="preserve"> to future instalments for existing deferrals.</w:t>
      </w:r>
    </w:p>
    <w:p w:rsidR="008641E5" w:rsidP="008641E5" w:rsidRDefault="008641E5" w14:paraId="08C37D5F" w14:textId="77777777">
      <w:pPr>
        <w:pStyle w:val="BodyText125"/>
        <w:numPr>
          <w:ilvl w:val="0"/>
          <w:numId w:val="32"/>
        </w:numPr>
        <w:rPr>
          <w:b/>
          <w:bCs/>
        </w:rPr>
      </w:pPr>
      <w:r>
        <w:rPr>
          <w:b/>
          <w:bCs/>
        </w:rPr>
        <w:t>Early Payment for Residential/Institutional</w:t>
      </w:r>
    </w:p>
    <w:p w:rsidR="008641E5" w:rsidP="008641E5" w:rsidRDefault="00BF6C0B" w14:paraId="4EAD58B0" w14:textId="2AD7C171">
      <w:pPr>
        <w:pStyle w:val="BodyText125"/>
        <w:ind w:left="720"/>
        <w:rPr>
          <w:lang w:val="en-CA" w:eastAsia="ja-JP"/>
        </w:rPr>
      </w:pPr>
      <w:r>
        <w:t>C</w:t>
      </w:r>
      <w:r w:rsidR="008641E5">
        <w:t xml:space="preserve">hanges provide that a person required to </w:t>
      </w:r>
      <w:proofErr w:type="gramStart"/>
      <w:r w:rsidR="008641E5">
        <w:t>pay</w:t>
      </w:r>
      <w:proofErr w:type="gramEnd"/>
      <w:r w:rsidR="008641E5">
        <w:t xml:space="preserve"> a D.C. for residential or institutional development (i.e. instalments </w:t>
      </w:r>
      <w:proofErr w:type="gramStart"/>
      <w:r w:rsidR="008641E5">
        <w:t>or at</w:t>
      </w:r>
      <w:proofErr w:type="gramEnd"/>
      <w:r w:rsidR="008641E5">
        <w:t xml:space="preserve"> occupancy), can pay earlier without the requirement to enter into an early payment agreement.</w:t>
      </w:r>
    </w:p>
    <w:p w:rsidR="008641E5" w:rsidP="00C041FD" w:rsidRDefault="008641E5" w14:paraId="37106D42" w14:textId="77777777">
      <w:pPr>
        <w:pStyle w:val="BodyText125"/>
        <w:numPr>
          <w:ilvl w:val="0"/>
          <w:numId w:val="32"/>
        </w:numPr>
        <w:rPr>
          <w:b/>
          <w:bCs/>
        </w:rPr>
      </w:pPr>
      <w:r w:rsidRPr="00150399">
        <w:rPr>
          <w:b/>
          <w:bCs/>
        </w:rPr>
        <w:t>Exemption for Long-term Care Homes</w:t>
      </w:r>
    </w:p>
    <w:p w:rsidR="008641E5" w:rsidP="008641E5" w:rsidRDefault="008641E5" w14:paraId="0C3C52FF" w14:textId="77777777">
      <w:pPr>
        <w:pStyle w:val="BodyText125"/>
        <w:ind w:left="720"/>
      </w:pPr>
      <w:r>
        <w:t>Before this change, long-term care homes were subject to the installment payment provisions of the D.C.A.  As of June 5, 2025, Long-term care homes are exempt from D.C.s, as well as all future installment payments, where applicable.</w:t>
      </w:r>
    </w:p>
    <w:p w:rsidR="008641E5" w:rsidP="00C041FD" w:rsidRDefault="008641E5" w14:paraId="0148C833" w14:textId="77777777">
      <w:pPr>
        <w:pStyle w:val="BodyText125"/>
        <w:numPr>
          <w:ilvl w:val="0"/>
          <w:numId w:val="32"/>
        </w:numPr>
        <w:rPr>
          <w:b/>
          <w:bCs/>
        </w:rPr>
      </w:pPr>
      <w:r w:rsidRPr="00150399">
        <w:rPr>
          <w:b/>
          <w:bCs/>
        </w:rPr>
        <w:t>Revised Definition of Capital Costs</w:t>
      </w:r>
    </w:p>
    <w:p w:rsidR="008641E5" w:rsidP="008641E5" w:rsidRDefault="008641E5" w14:paraId="6034EB8C" w14:textId="77777777">
      <w:pPr>
        <w:pStyle w:val="BodyText125"/>
        <w:ind w:left="720"/>
      </w:pPr>
      <w:r>
        <w:t xml:space="preserve">Section 5(3) of the D.C.A. provides for a definition of capital costs that are eligible for inclusion in the D.C. calculations.  The changes introduced by Bill 17 added the following wording to the beginning of the section: “Subject to the regulations”.  As such, the </w:t>
      </w:r>
      <w:proofErr w:type="gramStart"/>
      <w:r>
        <w:t>Province</w:t>
      </w:r>
      <w:proofErr w:type="gramEnd"/>
      <w:r>
        <w:t xml:space="preserve"> may make changes to limit the definition of capital costs via changes to the D.C. regulations.</w:t>
      </w:r>
    </w:p>
    <w:p w:rsidR="008641E5" w:rsidP="00C041FD" w:rsidRDefault="008641E5" w14:paraId="693D3B57" w14:textId="77777777">
      <w:pPr>
        <w:pStyle w:val="BodyText125"/>
        <w:numPr>
          <w:ilvl w:val="0"/>
          <w:numId w:val="32"/>
        </w:numPr>
        <w:rPr>
          <w:b/>
          <w:bCs/>
        </w:rPr>
      </w:pPr>
      <w:r>
        <w:rPr>
          <w:b/>
          <w:bCs/>
        </w:rPr>
        <w:t>Expanded Simplified D.C. By-law Amendment Process</w:t>
      </w:r>
    </w:p>
    <w:p w:rsidR="008641E5" w:rsidP="008641E5" w:rsidRDefault="006F1FB4" w14:paraId="6D1A69F8" w14:textId="4B11DFF1">
      <w:pPr>
        <w:pStyle w:val="BodyText125"/>
        <w:ind w:left="720"/>
      </w:pPr>
      <w:r>
        <w:t xml:space="preserve">A </w:t>
      </w:r>
      <w:r w:rsidR="008641E5">
        <w:t>D.C. by-law may be amended through the simplified amendment process to repeal the indexing provision or decrease the D.C. for one or more types of development.</w:t>
      </w:r>
    </w:p>
    <w:p w:rsidRPr="00150399" w:rsidR="008641E5" w:rsidP="00C041FD" w:rsidRDefault="008641E5" w14:paraId="2960487B" w14:textId="77777777">
      <w:pPr>
        <w:pStyle w:val="BodyText125"/>
        <w:numPr>
          <w:ilvl w:val="0"/>
          <w:numId w:val="32"/>
        </w:numPr>
        <w:rPr>
          <w:b/>
          <w:bCs/>
        </w:rPr>
      </w:pPr>
      <w:r w:rsidRPr="00150399">
        <w:rPr>
          <w:b/>
          <w:bCs/>
        </w:rPr>
        <w:t>Lower Charge – Current vs. Rate Freeze</w:t>
      </w:r>
    </w:p>
    <w:p w:rsidR="008641E5" w:rsidP="008641E5" w:rsidRDefault="008641E5" w14:paraId="6DC9540C" w14:textId="77777777">
      <w:pPr>
        <w:pStyle w:val="BodyText125"/>
        <w:ind w:left="720"/>
      </w:pPr>
      <w:r>
        <w:t>This change provides that the municipality must charge the lower of the D.C. calculated with the rate freeze (including interest) and the D.C. at current rates at the time the D.C. is payable.  This change assists where municipalities reduce their D.C. and therefore can impose the reduced D.C. in cases where the rate freeze applies.</w:t>
      </w:r>
    </w:p>
    <w:p w:rsidRPr="00150399" w:rsidR="008641E5" w:rsidP="00C041FD" w:rsidRDefault="008641E5" w14:paraId="5FAA477E" w14:textId="77777777">
      <w:pPr>
        <w:pStyle w:val="BodyText125"/>
        <w:numPr>
          <w:ilvl w:val="0"/>
          <w:numId w:val="32"/>
        </w:numPr>
        <w:rPr>
          <w:b/>
          <w:bCs/>
        </w:rPr>
      </w:pPr>
      <w:r w:rsidRPr="00150399">
        <w:rPr>
          <w:b/>
          <w:bCs/>
        </w:rPr>
        <w:t>Grouping of Services for the Purposes of Using Credits</w:t>
      </w:r>
    </w:p>
    <w:p w:rsidRPr="00B16B29" w:rsidR="008641E5" w:rsidP="008641E5" w:rsidRDefault="008641E5" w14:paraId="2285A5C9" w14:textId="32340F3A">
      <w:pPr>
        <w:pStyle w:val="BodyText125"/>
        <w:ind w:left="720"/>
      </w:pPr>
      <w:r>
        <w:t xml:space="preserve">This change </w:t>
      </w:r>
      <w:r w:rsidR="00C04613">
        <w:t xml:space="preserve">enables the </w:t>
      </w:r>
      <w:proofErr w:type="gramStart"/>
      <w:r w:rsidR="00C04613">
        <w:t>Province</w:t>
      </w:r>
      <w:proofErr w:type="gramEnd"/>
      <w:r w:rsidR="00C04613">
        <w:t xml:space="preserve"> to consolidate D.C. services through regulations for the purpose</w:t>
      </w:r>
      <w:r>
        <w:t xml:space="preserve"> of applying D.C. credits.</w:t>
      </w:r>
    </w:p>
    <w:p w:rsidR="000E71F8" w:rsidP="008E4F70" w:rsidRDefault="0093654A" w14:paraId="1DF89D98" w14:textId="26FBCD9C">
      <w:pPr>
        <w:pStyle w:val="BodyText125"/>
        <w:rPr>
          <w:lang w:val="en-CA" w:eastAsia="ja-JP"/>
        </w:rPr>
      </w:pPr>
      <w:r>
        <w:rPr>
          <w:lang w:val="en-CA" w:eastAsia="ja-JP"/>
        </w:rPr>
        <w:t xml:space="preserve">The draft amending D.C. by-law for parks and recreation </w:t>
      </w:r>
      <w:r w:rsidR="00F738E5">
        <w:rPr>
          <w:lang w:val="en-CA" w:eastAsia="ja-JP"/>
        </w:rPr>
        <w:t xml:space="preserve">in Appendix D provides for updates to align with the amended legislation. </w:t>
      </w:r>
      <w:r w:rsidR="004B390A">
        <w:rPr>
          <w:lang w:val="en-CA" w:eastAsia="ja-JP"/>
        </w:rPr>
        <w:t xml:space="preserve"> Note, through the simplified by-law amendment process, the </w:t>
      </w:r>
      <w:proofErr w:type="gramStart"/>
      <w:r w:rsidR="004B390A">
        <w:rPr>
          <w:lang w:val="en-CA" w:eastAsia="ja-JP"/>
        </w:rPr>
        <w:t>City</w:t>
      </w:r>
      <w:proofErr w:type="gramEnd"/>
      <w:r w:rsidR="004B390A">
        <w:rPr>
          <w:lang w:val="en-CA" w:eastAsia="ja-JP"/>
        </w:rPr>
        <w:t xml:space="preserve"> will also amend the </w:t>
      </w:r>
      <w:r w:rsidR="00D1205F">
        <w:rPr>
          <w:lang w:val="en-CA" w:eastAsia="ja-JP"/>
        </w:rPr>
        <w:t xml:space="preserve">D.C. by-laws for all other services to align with the D.C.A., as amended. </w:t>
      </w:r>
    </w:p>
    <w:p w:rsidRPr="00C041FD" w:rsidR="00E5225A" w:rsidP="00C041FD" w:rsidRDefault="00E5225A" w14:paraId="2B8FC731" w14:textId="18FB257D">
      <w:pPr>
        <w:pStyle w:val="BodyText125"/>
        <w:rPr>
          <w:lang w:val="en-CA" w:eastAsia="ja-JP"/>
        </w:rPr>
      </w:pPr>
      <w:r>
        <w:rPr>
          <w:lang w:val="en-CA" w:eastAsia="ja-JP"/>
        </w:rPr>
        <w:t xml:space="preserve">In addition to the legislative changes provided through Bill 17: </w:t>
      </w:r>
      <w:r>
        <w:rPr>
          <w:i/>
          <w:iCs/>
          <w:lang w:val="en-CA" w:eastAsia="ja-JP"/>
        </w:rPr>
        <w:t>Protect Ontario by Building Faster and Smarter Act, 2025</w:t>
      </w:r>
      <w:r w:rsidR="006E7410">
        <w:rPr>
          <w:lang w:val="en-CA" w:eastAsia="ja-JP"/>
        </w:rPr>
        <w:t xml:space="preserve">, the </w:t>
      </w:r>
      <w:proofErr w:type="gramStart"/>
      <w:r w:rsidR="006E7410">
        <w:rPr>
          <w:lang w:val="en-CA" w:eastAsia="ja-JP"/>
        </w:rPr>
        <w:t>Province</w:t>
      </w:r>
      <w:proofErr w:type="gramEnd"/>
      <w:r w:rsidR="006E7410">
        <w:rPr>
          <w:lang w:val="en-CA" w:eastAsia="ja-JP"/>
        </w:rPr>
        <w:t xml:space="preserve"> also released </w:t>
      </w:r>
      <w:r w:rsidR="00CA6E58">
        <w:rPr>
          <w:lang w:val="en-CA" w:eastAsia="ja-JP"/>
        </w:rPr>
        <w:t xml:space="preserve">Bill 60: </w:t>
      </w:r>
      <w:r w:rsidR="00CA6E58">
        <w:rPr>
          <w:i/>
          <w:iCs/>
          <w:lang w:val="en-CA" w:eastAsia="ja-JP"/>
        </w:rPr>
        <w:t>Fighting Delays, Building Faster Act, 2025</w:t>
      </w:r>
      <w:r w:rsidR="00CA6E58">
        <w:rPr>
          <w:lang w:val="en-CA" w:eastAsia="ja-JP"/>
        </w:rPr>
        <w:t xml:space="preserve"> on October 23, 2025.  At the time of writing, t</w:t>
      </w:r>
      <w:r w:rsidR="00C93DF6">
        <w:rPr>
          <w:lang w:val="en-CA" w:eastAsia="ja-JP"/>
        </w:rPr>
        <w:t>he proposed changes are not yet in effect.  Appendix C provides comm</w:t>
      </w:r>
      <w:r w:rsidR="007E17E1">
        <w:rPr>
          <w:lang w:val="en-CA" w:eastAsia="ja-JP"/>
        </w:rPr>
        <w:t>entary on the potential implications to this D.C. Update Study</w:t>
      </w:r>
      <w:r w:rsidR="00A11328">
        <w:rPr>
          <w:lang w:val="en-CA" w:eastAsia="ja-JP"/>
        </w:rPr>
        <w:t xml:space="preserve">, based on the proposed changes. </w:t>
      </w:r>
    </w:p>
    <w:p w:rsidR="00FB402B" w:rsidP="006A7162" w:rsidRDefault="00FB402B" w14:paraId="421B8BC9" w14:textId="77777777">
      <w:pPr>
        <w:pStyle w:val="ChapterDividers"/>
        <w:rPr>
          <w:noProof w:val="0"/>
          <w:lang w:val="en-CA"/>
        </w:rPr>
        <w:sectPr w:rsidR="00FB402B" w:rsidSect="009A60F6">
          <w:footnotePr>
            <w:numRestart w:val="eachPage"/>
          </w:footnotePr>
          <w:pgSz w:w="12240" w:h="15840" w:orient="portrait" w:code="1"/>
          <w:pgMar w:top="1440" w:right="1440" w:bottom="1440" w:left="1440" w:header="432" w:footer="619" w:gutter="0"/>
          <w:cols w:space="708"/>
          <w:titlePg/>
          <w:docGrid w:linePitch="360"/>
        </w:sectPr>
      </w:pPr>
    </w:p>
    <w:p w:rsidRPr="0015322B" w:rsidR="00B4409A" w:rsidP="006A7162" w:rsidRDefault="001350F1" w14:paraId="5131A6CD" w14:textId="2F584221">
      <w:pPr>
        <w:pStyle w:val="ChapterDividers"/>
        <w:rPr>
          <w:noProof w:val="0"/>
          <w:lang w:val="en-CA"/>
        </w:rPr>
      </w:pPr>
      <w:r w:rsidRPr="0015322B">
        <w:rPr>
          <w:noProof w:val="0"/>
          <w:lang w:val="en-CA"/>
        </w:rPr>
        <w:t xml:space="preserve">Chapter </w:t>
      </w:r>
      <w:r w:rsidR="00D1205F">
        <w:rPr>
          <w:noProof w:val="0"/>
          <w:lang w:val="en-CA"/>
        </w:rPr>
        <w:t>3</w:t>
      </w:r>
    </w:p>
    <w:p w:rsidRPr="0015322B" w:rsidR="001350F1" w:rsidP="00B4409A" w:rsidRDefault="00652FE4" w14:paraId="78D8D4EB" w14:textId="7146C14A">
      <w:pPr>
        <w:pStyle w:val="ChapterDividersTitle"/>
        <w:rPr>
          <w:noProof w:val="0"/>
          <w:lang w:val="en-CA"/>
        </w:rPr>
      </w:pPr>
      <w:r>
        <w:rPr>
          <w:noProof w:val="0"/>
          <w:lang w:val="en-CA"/>
        </w:rPr>
        <w:t>Anticipated Development</w:t>
      </w:r>
      <w:bookmarkEnd w:id="11"/>
      <w:bookmarkEnd w:id="12"/>
      <w:bookmarkEnd w:id="13"/>
    </w:p>
    <w:p w:rsidRPr="0015322B" w:rsidR="009648EF" w:rsidP="009648EF" w:rsidRDefault="009648EF" w14:paraId="316D4265" w14:textId="77777777">
      <w:pPr>
        <w:pStyle w:val="Sourcecaptions"/>
        <w:rPr>
          <w:lang w:val="en-CA"/>
        </w:rPr>
        <w:sectPr w:rsidRPr="0015322B" w:rsidR="009648EF" w:rsidSect="009A60F6">
          <w:footerReference w:type="first" r:id="rId36"/>
          <w:footnotePr>
            <w:numRestart w:val="eachPage"/>
          </w:footnotePr>
          <w:pgSz w:w="12240" w:h="15840" w:orient="portrait" w:code="1"/>
          <w:pgMar w:top="1440" w:right="1440" w:bottom="1440" w:left="1440" w:header="432" w:footer="619" w:gutter="0"/>
          <w:cols w:space="708"/>
          <w:titlePg/>
          <w:docGrid w:linePitch="360"/>
        </w:sectPr>
      </w:pPr>
    </w:p>
    <w:p w:rsidRPr="0015322B" w:rsidR="009648EF" w:rsidP="009648EF" w:rsidRDefault="00652FE4" w14:paraId="4798DC75" w14:textId="659E02BC">
      <w:pPr>
        <w:pStyle w:val="Heading1"/>
        <w:rPr>
          <w:lang w:val="en-CA"/>
        </w:rPr>
      </w:pPr>
      <w:bookmarkStart w:name="_Toc213674175" w:id="15"/>
      <w:r>
        <w:rPr>
          <w:lang w:val="en-CA"/>
        </w:rPr>
        <w:t>Anticipated Development</w:t>
      </w:r>
      <w:bookmarkEnd w:id="15"/>
    </w:p>
    <w:p w:rsidRPr="0015322B" w:rsidR="001D22C0" w:rsidP="00B16524" w:rsidRDefault="00652FE4" w14:paraId="4E4E3E15" w14:textId="12C63FA4">
      <w:pPr>
        <w:pStyle w:val="Heading2"/>
        <w:numPr>
          <w:ilvl w:val="1"/>
          <w:numId w:val="3"/>
        </w:numPr>
        <w:rPr>
          <w:lang w:val="en-CA"/>
        </w:rPr>
      </w:pPr>
      <w:bookmarkStart w:name="_Toc213674176" w:id="16"/>
      <w:bookmarkStart w:name="_Toc517273732" w:id="17"/>
      <w:bookmarkStart w:name="_Toc517273736" w:id="18"/>
      <w:r>
        <w:rPr>
          <w:lang w:val="en-CA"/>
        </w:rPr>
        <w:t>Growth Forecast from the 2023 D.C. Study</w:t>
      </w:r>
      <w:bookmarkEnd w:id="16"/>
    </w:p>
    <w:bookmarkEnd w:id="17"/>
    <w:p w:rsidRPr="00240AD5" w:rsidR="00240AD5" w:rsidP="00240AD5" w:rsidRDefault="000A0CE8" w14:paraId="5D7D9D26" w14:textId="7F27BD3D">
      <w:pPr>
        <w:pStyle w:val="BodyText125"/>
      </w:pPr>
      <w:r w:rsidRPr="0015322B">
        <w:rPr>
          <w:lang w:val="en-CA"/>
        </w:rPr>
        <w:t>T</w:t>
      </w:r>
      <w:r w:rsidR="00240AD5">
        <w:rPr>
          <w:lang w:val="en-CA"/>
        </w:rPr>
        <w:t xml:space="preserve">he 2023 D.C. study provided for the anticipated residential and non-residential growth within the </w:t>
      </w:r>
      <w:r w:rsidR="005B11E1">
        <w:rPr>
          <w:lang w:val="en-CA"/>
        </w:rPr>
        <w:t>City</w:t>
      </w:r>
      <w:r w:rsidR="00240AD5">
        <w:rPr>
          <w:lang w:val="en-CA"/>
        </w:rPr>
        <w:t xml:space="preserve"> of </w:t>
      </w:r>
      <w:r w:rsidR="005B11E1">
        <w:rPr>
          <w:lang w:val="en-CA"/>
        </w:rPr>
        <w:t>Cambridge</w:t>
      </w:r>
      <w:r w:rsidR="00240AD5">
        <w:rPr>
          <w:lang w:val="en-CA"/>
        </w:rPr>
        <w:t>.  The growth forecast associated with services included in the background study is provide</w:t>
      </w:r>
      <w:r w:rsidR="00366C27">
        <w:rPr>
          <w:lang w:val="en-CA"/>
        </w:rPr>
        <w:t>d</w:t>
      </w:r>
      <w:r w:rsidR="00240AD5">
        <w:rPr>
          <w:lang w:val="en-CA"/>
        </w:rPr>
        <w:t xml:space="preserve"> in Table </w:t>
      </w:r>
      <w:r w:rsidR="00D1205F">
        <w:rPr>
          <w:lang w:val="en-CA"/>
        </w:rPr>
        <w:t>3</w:t>
      </w:r>
      <w:r w:rsidR="00240AD5">
        <w:rPr>
          <w:lang w:val="en-CA"/>
        </w:rPr>
        <w:t>-1 below.</w:t>
      </w:r>
    </w:p>
    <w:p w:rsidR="00D1205F" w:rsidP="00473E5D" w:rsidRDefault="00240AD5" w14:paraId="09E057A5" w14:textId="2484AF39">
      <w:pPr>
        <w:pStyle w:val="BodyText125"/>
        <w:rPr>
          <w:lang w:val="en-CA"/>
        </w:rPr>
      </w:pPr>
      <w:r>
        <w:rPr>
          <w:lang w:val="en-CA"/>
        </w:rPr>
        <w:t>For the purposes of this D.C. update, the 2023 D.C. Study growth forecast remains unchanged as the incremental growth is anticipated to remain the same.</w:t>
      </w:r>
    </w:p>
    <w:p w:rsidR="00D1205F" w:rsidP="00240AD5" w:rsidRDefault="00D1205F" w14:paraId="43733C31" w14:textId="77777777">
      <w:pPr>
        <w:pStyle w:val="FigureTableTitles"/>
        <w:rPr>
          <w:lang w:val="en-CA"/>
        </w:rPr>
      </w:pPr>
    </w:p>
    <w:p w:rsidR="00240AD5" w:rsidP="00240AD5" w:rsidRDefault="00240AD5" w14:paraId="31797311" w14:textId="24F5CA9A">
      <w:pPr>
        <w:pStyle w:val="FigureTableTitles"/>
        <w:rPr>
          <w:lang w:val="en-CA"/>
        </w:rPr>
      </w:pPr>
      <w:r>
        <w:rPr>
          <w:lang w:val="en-CA"/>
        </w:rPr>
        <w:t xml:space="preserve">Table </w:t>
      </w:r>
      <w:r w:rsidR="00D1205F">
        <w:rPr>
          <w:lang w:val="en-CA"/>
        </w:rPr>
        <w:t>3</w:t>
      </w:r>
      <w:r>
        <w:rPr>
          <w:lang w:val="en-CA"/>
        </w:rPr>
        <w:t>-1</w:t>
      </w:r>
    </w:p>
    <w:p w:rsidR="00240AD5" w:rsidP="00240AD5" w:rsidRDefault="005B11E1" w14:paraId="62142E3E" w14:textId="5FA4406D">
      <w:pPr>
        <w:pStyle w:val="FigureTableTitles"/>
        <w:rPr>
          <w:lang w:val="en-CA"/>
        </w:rPr>
      </w:pPr>
      <w:r>
        <w:rPr>
          <w:lang w:val="en-CA"/>
        </w:rPr>
        <w:t>City</w:t>
      </w:r>
      <w:r w:rsidR="00240AD5">
        <w:rPr>
          <w:lang w:val="en-CA"/>
        </w:rPr>
        <w:t xml:space="preserve"> of </w:t>
      </w:r>
      <w:r>
        <w:rPr>
          <w:lang w:val="en-CA"/>
        </w:rPr>
        <w:t>Cambridge</w:t>
      </w:r>
    </w:p>
    <w:p w:rsidR="00635B90" w:rsidP="00635B90" w:rsidRDefault="00240AD5" w14:paraId="50341511" w14:textId="11A2441B">
      <w:pPr>
        <w:pStyle w:val="FigureTableTitles"/>
        <w:rPr>
          <w:lang w:val="en-CA"/>
        </w:rPr>
      </w:pPr>
      <w:r>
        <w:rPr>
          <w:lang w:val="en-CA"/>
        </w:rPr>
        <w:t>2023 D.C. Background Study – Growth Forecast Summary</w:t>
      </w:r>
    </w:p>
    <w:tbl>
      <w:tblPr>
        <w:tblStyle w:val="TableGrid"/>
        <w:tblW w:w="43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296"/>
        <w:gridCol w:w="2046"/>
        <w:gridCol w:w="1841"/>
      </w:tblGrid>
      <w:tr w:rsidRPr="005879DB" w:rsidR="00635B90" w:rsidTr="00C041FD" w14:paraId="127CFD06"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25" w:type="pct"/>
            <w:shd w:val="clear" w:color="auto" w:fill="425364"/>
          </w:tcPr>
          <w:p w:rsidRPr="000C6AA8" w:rsidR="00635B90" w:rsidP="00635B90" w:rsidRDefault="00635B90" w14:paraId="300E3C68" w14:textId="77777777">
            <w:pPr>
              <w:pStyle w:val="BodyText125"/>
              <w:spacing w:after="0"/>
              <w:rPr>
                <w:b/>
                <w:bCs/>
                <w:noProof/>
                <w:color w:val="FFFFFF" w:themeColor="background1"/>
              </w:rPr>
            </w:pPr>
            <w:r w:rsidRPr="000C6AA8">
              <w:rPr>
                <w:b/>
                <w:bCs/>
                <w:noProof/>
                <w:color w:val="FFFFFF" w:themeColor="background1"/>
              </w:rPr>
              <w:t>Measure</w:t>
            </w:r>
          </w:p>
        </w:tc>
        <w:tc>
          <w:tcPr>
            <w:tcW w:w="1250" w:type="pct"/>
            <w:shd w:val="clear" w:color="auto" w:fill="425364"/>
          </w:tcPr>
          <w:p w:rsidR="00635B90" w:rsidP="00635B90" w:rsidRDefault="00635B90" w14:paraId="4E1C707E" w14:textId="77777777">
            <w:pPr>
              <w:pStyle w:val="BodyText125"/>
              <w:spacing w:after="0"/>
              <w:cnfStyle w:val="100000000000" w:firstRow="1" w:lastRow="0" w:firstColumn="0" w:lastColumn="0" w:oddVBand="0" w:evenVBand="0" w:oddHBand="0" w:evenHBand="0" w:firstRowFirstColumn="0" w:firstRowLastColumn="0" w:lastRowFirstColumn="0" w:lastRowLastColumn="0"/>
              <w:rPr>
                <w:b/>
                <w:bCs/>
                <w:noProof/>
                <w:color w:val="FFFFFF" w:themeColor="background1"/>
              </w:rPr>
            </w:pPr>
            <w:r>
              <w:rPr>
                <w:b/>
                <w:bCs/>
                <w:noProof/>
                <w:color w:val="FFFFFF" w:themeColor="background1"/>
              </w:rPr>
              <w:t>10-year</w:t>
            </w:r>
          </w:p>
          <w:p w:rsidRPr="000C6AA8" w:rsidR="00635B90" w:rsidP="00635B90" w:rsidRDefault="00635B90" w14:paraId="2D30272B" w14:textId="5A30A474">
            <w:pPr>
              <w:pStyle w:val="BodyText125"/>
              <w:spacing w:after="0"/>
              <w:cnfStyle w:val="100000000000" w:firstRow="1" w:lastRow="0" w:firstColumn="0" w:lastColumn="0" w:oddVBand="0" w:evenVBand="0" w:oddHBand="0" w:evenHBand="0" w:firstRowFirstColumn="0" w:firstRowLastColumn="0" w:lastRowFirstColumn="0" w:lastRowLastColumn="0"/>
              <w:rPr>
                <w:b/>
                <w:bCs/>
                <w:noProof/>
                <w:color w:val="FFFFFF" w:themeColor="background1"/>
              </w:rPr>
            </w:pPr>
            <w:r>
              <w:rPr>
                <w:b/>
                <w:bCs/>
                <w:noProof/>
                <w:color w:val="FFFFFF" w:themeColor="background1"/>
              </w:rPr>
              <w:t>2023 to 2032</w:t>
            </w:r>
          </w:p>
        </w:tc>
        <w:tc>
          <w:tcPr>
            <w:tcW w:w="1125" w:type="pct"/>
            <w:shd w:val="clear" w:color="auto" w:fill="425364"/>
          </w:tcPr>
          <w:p w:rsidR="00635B90" w:rsidP="00635B90" w:rsidRDefault="00635B90" w14:paraId="2B5B57BE" w14:textId="39FBEF75">
            <w:pPr>
              <w:pStyle w:val="BodyText125"/>
              <w:spacing w:after="0"/>
              <w:cnfStyle w:val="100000000000" w:firstRow="1" w:lastRow="0" w:firstColumn="0" w:lastColumn="0" w:oddVBand="0" w:evenVBand="0" w:oddHBand="0" w:evenHBand="0" w:firstRowFirstColumn="0" w:firstRowLastColumn="0" w:lastRowFirstColumn="0" w:lastRowLastColumn="0"/>
              <w:rPr>
                <w:b/>
                <w:bCs/>
                <w:noProof/>
                <w:color w:val="FFFFFF" w:themeColor="background1"/>
              </w:rPr>
            </w:pPr>
            <w:r>
              <w:rPr>
                <w:b/>
                <w:bCs/>
                <w:noProof/>
                <w:color w:val="FFFFFF" w:themeColor="background1"/>
              </w:rPr>
              <w:t>10-year</w:t>
            </w:r>
          </w:p>
          <w:p w:rsidR="00635B90" w:rsidP="00635B90" w:rsidRDefault="00635B90" w14:paraId="0BFB5562" w14:textId="77777777">
            <w:pPr>
              <w:pStyle w:val="BodyText125"/>
              <w:spacing w:after="0"/>
              <w:cnfStyle w:val="100000000000" w:firstRow="1" w:lastRow="0" w:firstColumn="0" w:lastColumn="0" w:oddVBand="0" w:evenVBand="0" w:oddHBand="0" w:evenHBand="0" w:firstRowFirstColumn="0" w:firstRowLastColumn="0" w:lastRowFirstColumn="0" w:lastRowLastColumn="0"/>
              <w:rPr>
                <w:b/>
                <w:bCs/>
                <w:noProof/>
                <w:color w:val="FFFFFF" w:themeColor="background1"/>
              </w:rPr>
            </w:pPr>
            <w:r>
              <w:rPr>
                <w:b/>
                <w:bCs/>
                <w:noProof/>
                <w:color w:val="FFFFFF" w:themeColor="background1"/>
              </w:rPr>
              <w:t>Urban Boundary</w:t>
            </w:r>
          </w:p>
          <w:p w:rsidRPr="000C6AA8" w:rsidR="00635B90" w:rsidP="00635B90" w:rsidRDefault="00635B90" w14:paraId="6A41D38F" w14:textId="751F65E5">
            <w:pPr>
              <w:pStyle w:val="BodyText125"/>
              <w:spacing w:after="0"/>
              <w:cnfStyle w:val="100000000000" w:firstRow="1" w:lastRow="0" w:firstColumn="0" w:lastColumn="0" w:oddVBand="0" w:evenVBand="0" w:oddHBand="0" w:evenHBand="0" w:firstRowFirstColumn="0" w:firstRowLastColumn="0" w:lastRowFirstColumn="0" w:lastRowLastColumn="0"/>
              <w:rPr>
                <w:b/>
                <w:bCs/>
                <w:noProof/>
                <w:color w:val="FFFFFF" w:themeColor="background1"/>
              </w:rPr>
            </w:pPr>
            <w:r>
              <w:rPr>
                <w:b/>
                <w:bCs/>
                <w:noProof/>
                <w:color w:val="FFFFFF" w:themeColor="background1"/>
              </w:rPr>
              <w:t>2023 to 2032</w:t>
            </w:r>
          </w:p>
        </w:tc>
      </w:tr>
      <w:tr w:rsidRPr="005879DB" w:rsidR="00635B90" w:rsidTr="00C041FD" w14:paraId="46A84812" w14:textId="77777777">
        <w:trPr>
          <w:jc w:val="center"/>
        </w:trPr>
        <w:tc>
          <w:tcPr>
            <w:cnfStyle w:val="001000000000" w:firstRow="0" w:lastRow="0" w:firstColumn="1" w:lastColumn="0" w:oddVBand="0" w:evenVBand="0" w:oddHBand="0" w:evenHBand="0" w:firstRowFirstColumn="0" w:firstRowLastColumn="0" w:lastRowFirstColumn="0" w:lastRowLastColumn="0"/>
            <w:tcW w:w="2625" w:type="pct"/>
          </w:tcPr>
          <w:p w:rsidRPr="000C6AA8" w:rsidR="00635B90" w:rsidP="00635B90" w:rsidRDefault="00635B90" w14:paraId="60037A43" w14:textId="77777777">
            <w:pPr>
              <w:pStyle w:val="BodyText125"/>
              <w:spacing w:after="0"/>
              <w:rPr>
                <w:noProof/>
              </w:rPr>
            </w:pPr>
            <w:r w:rsidRPr="000C6AA8">
              <w:rPr>
                <w:noProof/>
              </w:rPr>
              <w:t>(Net) Population Increase</w:t>
            </w:r>
          </w:p>
        </w:tc>
        <w:tc>
          <w:tcPr>
            <w:tcW w:w="1250" w:type="pct"/>
          </w:tcPr>
          <w:p w:rsidRPr="000C6AA8" w:rsidR="00635B90" w:rsidP="00635B90" w:rsidRDefault="00635B90" w14:paraId="00764731" w14:textId="74472CEA">
            <w:pPr>
              <w:pStyle w:val="BodyText125"/>
              <w:spacing w:after="0"/>
              <w:cnfStyle w:val="000000000000" w:firstRow="0" w:lastRow="0" w:firstColumn="0" w:lastColumn="0" w:oddVBand="0" w:evenVBand="0" w:oddHBand="0" w:evenHBand="0" w:firstRowFirstColumn="0" w:firstRowLastColumn="0" w:lastRowFirstColumn="0" w:lastRowLastColumn="0"/>
              <w:rPr>
                <w:noProof/>
              </w:rPr>
            </w:pPr>
            <w:r>
              <w:rPr>
                <w:noProof/>
              </w:rPr>
              <w:t>23,500</w:t>
            </w:r>
          </w:p>
        </w:tc>
        <w:tc>
          <w:tcPr>
            <w:tcW w:w="1125" w:type="pct"/>
          </w:tcPr>
          <w:p w:rsidRPr="000C6AA8" w:rsidR="00635B90" w:rsidP="00635B90" w:rsidRDefault="00635B90" w14:paraId="5495D706" w14:textId="318F3A55">
            <w:pPr>
              <w:pStyle w:val="BodyText125"/>
              <w:spacing w:after="0"/>
              <w:cnfStyle w:val="000000000000" w:firstRow="0" w:lastRow="0" w:firstColumn="0" w:lastColumn="0" w:oddVBand="0" w:evenVBand="0" w:oddHBand="0" w:evenHBand="0" w:firstRowFirstColumn="0" w:firstRowLastColumn="0" w:lastRowFirstColumn="0" w:lastRowLastColumn="0"/>
              <w:rPr>
                <w:noProof/>
              </w:rPr>
            </w:pPr>
            <w:r>
              <w:rPr>
                <w:noProof/>
              </w:rPr>
              <w:t>23,418</w:t>
            </w:r>
          </w:p>
        </w:tc>
      </w:tr>
      <w:tr w:rsidRPr="005879DB" w:rsidR="00635B90" w:rsidTr="00C041FD" w14:paraId="2C23A0B7" w14:textId="77777777">
        <w:trPr>
          <w:jc w:val="center"/>
        </w:trPr>
        <w:tc>
          <w:tcPr>
            <w:cnfStyle w:val="001000000000" w:firstRow="0" w:lastRow="0" w:firstColumn="1" w:lastColumn="0" w:oddVBand="0" w:evenVBand="0" w:oddHBand="0" w:evenHBand="0" w:firstRowFirstColumn="0" w:firstRowLastColumn="0" w:lastRowFirstColumn="0" w:lastRowLastColumn="0"/>
            <w:tcW w:w="2625" w:type="pct"/>
          </w:tcPr>
          <w:p w:rsidRPr="000C6AA8" w:rsidR="00635B90" w:rsidP="00635B90" w:rsidRDefault="00635B90" w14:paraId="40E1B859" w14:textId="77777777">
            <w:pPr>
              <w:pStyle w:val="BodyText125"/>
              <w:spacing w:after="0"/>
              <w:rPr>
                <w:noProof/>
              </w:rPr>
            </w:pPr>
            <w:r w:rsidRPr="000C6AA8">
              <w:rPr>
                <w:noProof/>
              </w:rPr>
              <w:t>Residential Unit Increase</w:t>
            </w:r>
          </w:p>
        </w:tc>
        <w:tc>
          <w:tcPr>
            <w:tcW w:w="1250" w:type="pct"/>
          </w:tcPr>
          <w:p w:rsidRPr="000C6AA8" w:rsidR="00635B90" w:rsidP="00635B90" w:rsidRDefault="00635B90" w14:paraId="2E6A180F" w14:textId="6FDF7188">
            <w:pPr>
              <w:pStyle w:val="BodyText125"/>
              <w:spacing w:after="0"/>
              <w:cnfStyle w:val="000000000000" w:firstRow="0" w:lastRow="0" w:firstColumn="0" w:lastColumn="0" w:oddVBand="0" w:evenVBand="0" w:oddHBand="0" w:evenHBand="0" w:firstRowFirstColumn="0" w:firstRowLastColumn="0" w:lastRowFirstColumn="0" w:lastRowLastColumn="0"/>
              <w:rPr>
                <w:noProof/>
              </w:rPr>
            </w:pPr>
            <w:r>
              <w:rPr>
                <w:noProof/>
              </w:rPr>
              <w:t>9,624</w:t>
            </w:r>
          </w:p>
        </w:tc>
        <w:tc>
          <w:tcPr>
            <w:tcW w:w="1125" w:type="pct"/>
          </w:tcPr>
          <w:p w:rsidRPr="00635B90" w:rsidR="00635B90" w:rsidP="00635B90" w:rsidRDefault="00635B90" w14:paraId="3729B63D" w14:textId="06C2D02D">
            <w:pPr>
              <w:pStyle w:val="BodyText125"/>
              <w:spacing w:after="0"/>
              <w:cnfStyle w:val="000000000000" w:firstRow="0" w:lastRow="0" w:firstColumn="0" w:lastColumn="0" w:oddVBand="0" w:evenVBand="0" w:oddHBand="0" w:evenHBand="0" w:firstRowFirstColumn="0" w:firstRowLastColumn="0" w:lastRowFirstColumn="0" w:lastRowLastColumn="0"/>
              <w:rPr>
                <w:noProof/>
              </w:rPr>
            </w:pPr>
            <w:r w:rsidRPr="00635B90">
              <w:rPr>
                <w:noProof/>
              </w:rPr>
              <w:t>9,602</w:t>
            </w:r>
          </w:p>
        </w:tc>
      </w:tr>
      <w:tr w:rsidRPr="005879DB" w:rsidR="00635B90" w:rsidTr="00C041FD" w14:paraId="3608248D" w14:textId="77777777">
        <w:trPr>
          <w:jc w:val="center"/>
        </w:trPr>
        <w:tc>
          <w:tcPr>
            <w:cnfStyle w:val="001000000000" w:firstRow="0" w:lastRow="0" w:firstColumn="1" w:lastColumn="0" w:oddVBand="0" w:evenVBand="0" w:oddHBand="0" w:evenHBand="0" w:firstRowFirstColumn="0" w:firstRowLastColumn="0" w:lastRowFirstColumn="0" w:lastRowLastColumn="0"/>
            <w:tcW w:w="2625" w:type="pct"/>
          </w:tcPr>
          <w:p w:rsidRPr="000C6AA8" w:rsidR="00635B90" w:rsidP="00635B90" w:rsidRDefault="00635B90" w14:paraId="6DD9553C" w14:textId="77777777">
            <w:pPr>
              <w:pStyle w:val="BodyText125"/>
              <w:spacing w:after="0"/>
              <w:rPr>
                <w:noProof/>
              </w:rPr>
            </w:pPr>
            <w:r w:rsidRPr="000C6AA8">
              <w:rPr>
                <w:noProof/>
              </w:rPr>
              <w:t>Non-Residential Gross Floor Area Increase (sq.ft.)</w:t>
            </w:r>
          </w:p>
        </w:tc>
        <w:tc>
          <w:tcPr>
            <w:tcW w:w="1250" w:type="pct"/>
          </w:tcPr>
          <w:p w:rsidRPr="000C6AA8" w:rsidR="00635B90" w:rsidP="00635B90" w:rsidRDefault="00635B90" w14:paraId="45A7C6F2" w14:textId="364D3DC0">
            <w:pPr>
              <w:pStyle w:val="BodyText125"/>
              <w:spacing w:after="0"/>
              <w:cnfStyle w:val="000000000000" w:firstRow="0" w:lastRow="0" w:firstColumn="0" w:lastColumn="0" w:oddVBand="0" w:evenVBand="0" w:oddHBand="0" w:evenHBand="0" w:firstRowFirstColumn="0" w:firstRowLastColumn="0" w:lastRowFirstColumn="0" w:lastRowLastColumn="0"/>
              <w:rPr>
                <w:noProof/>
              </w:rPr>
            </w:pPr>
            <w:r>
              <w:rPr>
                <w:noProof/>
              </w:rPr>
              <w:t>8,168,500</w:t>
            </w:r>
          </w:p>
        </w:tc>
        <w:tc>
          <w:tcPr>
            <w:tcW w:w="1125" w:type="pct"/>
          </w:tcPr>
          <w:p w:rsidRPr="000C6AA8" w:rsidR="00635B90" w:rsidP="00635B90" w:rsidRDefault="00635B90" w14:paraId="50881E56" w14:textId="164767BC">
            <w:pPr>
              <w:pStyle w:val="BodyText125"/>
              <w:spacing w:after="0"/>
              <w:cnfStyle w:val="000000000000" w:firstRow="0" w:lastRow="0" w:firstColumn="0" w:lastColumn="0" w:oddVBand="0" w:evenVBand="0" w:oddHBand="0" w:evenHBand="0" w:firstRowFirstColumn="0" w:firstRowLastColumn="0" w:lastRowFirstColumn="0" w:lastRowLastColumn="0"/>
              <w:rPr>
                <w:noProof/>
              </w:rPr>
            </w:pPr>
            <w:r>
              <w:rPr>
                <w:noProof/>
              </w:rPr>
              <w:t>8,168,500</w:t>
            </w:r>
          </w:p>
        </w:tc>
      </w:tr>
    </w:tbl>
    <w:p w:rsidR="00240AD5" w:rsidP="00635B90" w:rsidRDefault="00240AD5" w14:paraId="67B6299A" w14:textId="77777777">
      <w:pPr>
        <w:pStyle w:val="BodyText125"/>
        <w:jc w:val="center"/>
        <w:rPr>
          <w:lang w:val="en-CA"/>
        </w:rPr>
      </w:pPr>
    </w:p>
    <w:p w:rsidR="00240AD5" w:rsidP="00240AD5" w:rsidRDefault="00240AD5" w14:paraId="5BF3146E" w14:textId="77777777">
      <w:pPr>
        <w:pStyle w:val="FigureTableTitles"/>
        <w:jc w:val="left"/>
        <w:sectPr w:rsidR="00240AD5" w:rsidSect="00473E5D">
          <w:headerReference w:type="default" r:id="rId37"/>
          <w:footerReference w:type="default" r:id="rId38"/>
          <w:footerReference w:type="first" r:id="rId39"/>
          <w:footnotePr>
            <w:numRestart w:val="eachPage"/>
          </w:footnotePr>
          <w:pgSz w:w="12240" w:h="15840" w:orient="portrait" w:code="1"/>
          <w:pgMar w:top="1440" w:right="1440" w:bottom="1440" w:left="1440" w:header="432" w:footer="619" w:gutter="0"/>
          <w:cols w:space="708"/>
          <w:titlePg/>
          <w:docGrid w:linePitch="360"/>
        </w:sectPr>
      </w:pPr>
    </w:p>
    <w:p w:rsidRPr="0015322B" w:rsidR="00B4409A" w:rsidP="006A7162" w:rsidRDefault="001350F1" w14:paraId="71C18751" w14:textId="2A009075">
      <w:pPr>
        <w:pStyle w:val="ChapterDividers"/>
        <w:rPr>
          <w:noProof w:val="0"/>
          <w:lang w:val="en-CA"/>
        </w:rPr>
      </w:pPr>
      <w:bookmarkStart w:name="_Toc520822911" w:id="19"/>
      <w:bookmarkStart w:name="_Toc520910956" w:id="20"/>
      <w:bookmarkStart w:name="_Toc520911337" w:id="21"/>
      <w:r w:rsidRPr="0015322B">
        <w:rPr>
          <w:noProof w:val="0"/>
          <w:lang w:val="en-CA"/>
        </w:rPr>
        <w:t xml:space="preserve">Chapter </w:t>
      </w:r>
      <w:r w:rsidR="00D1205F">
        <w:rPr>
          <w:noProof w:val="0"/>
          <w:lang w:val="en-CA"/>
        </w:rPr>
        <w:t>4</w:t>
      </w:r>
    </w:p>
    <w:p w:rsidRPr="0015322B" w:rsidR="00E422F8" w:rsidP="00B4409A" w:rsidRDefault="00652FE4" w14:paraId="28711D79" w14:textId="4D6017ED">
      <w:pPr>
        <w:pStyle w:val="ChapterDividersTitle"/>
        <w:rPr>
          <w:noProof w:val="0"/>
          <w:lang w:val="en-CA"/>
        </w:rPr>
        <w:sectPr w:rsidRPr="0015322B" w:rsidR="00E422F8" w:rsidSect="009A60F6">
          <w:footerReference w:type="default" r:id="rId40"/>
          <w:footerReference w:type="first" r:id="rId41"/>
          <w:footnotePr>
            <w:numRestart w:val="eachPage"/>
          </w:footnotePr>
          <w:pgSz w:w="12240" w:h="15840" w:orient="portrait" w:code="1"/>
          <w:pgMar w:top="1440" w:right="1440" w:bottom="1440" w:left="1440" w:header="432" w:footer="619" w:gutter="0"/>
          <w:cols w:space="708"/>
          <w:titlePg/>
          <w:docGrid w:linePitch="360"/>
        </w:sectPr>
      </w:pPr>
      <w:r>
        <w:rPr>
          <w:noProof w:val="0"/>
          <w:lang w:val="en-CA"/>
        </w:rPr>
        <w:t xml:space="preserve">Updates to the </w:t>
      </w:r>
      <w:r w:rsidR="005B11E1">
        <w:rPr>
          <w:noProof w:val="0"/>
          <w:lang w:val="en-CA"/>
        </w:rPr>
        <w:t>City</w:t>
      </w:r>
      <w:r>
        <w:rPr>
          <w:noProof w:val="0"/>
          <w:lang w:val="en-CA"/>
        </w:rPr>
        <w:t>’s</w:t>
      </w:r>
      <w:r w:rsidR="00635B90">
        <w:rPr>
          <w:noProof w:val="0"/>
          <w:lang w:val="en-CA"/>
        </w:rPr>
        <w:t xml:space="preserve"> </w:t>
      </w:r>
      <w:r>
        <w:rPr>
          <w:noProof w:val="0"/>
          <w:lang w:val="en-CA"/>
        </w:rPr>
        <w:t>D.C. Study</w:t>
      </w:r>
      <w:bookmarkEnd w:id="19"/>
      <w:bookmarkEnd w:id="20"/>
      <w:bookmarkEnd w:id="21"/>
    </w:p>
    <w:p w:rsidR="009648EF" w:rsidP="00BB372D" w:rsidRDefault="00652FE4" w14:paraId="168465EE" w14:textId="708DB778">
      <w:pPr>
        <w:pStyle w:val="Heading1"/>
        <w:rPr>
          <w:lang w:val="en-CA"/>
        </w:rPr>
      </w:pPr>
      <w:bookmarkStart w:name="_Toc213674177" w:id="22"/>
      <w:bookmarkEnd w:id="18"/>
      <w:r>
        <w:rPr>
          <w:lang w:val="en-CA"/>
        </w:rPr>
        <w:t xml:space="preserve">Updates to the </w:t>
      </w:r>
      <w:r w:rsidR="005B11E1">
        <w:rPr>
          <w:lang w:val="en-CA"/>
        </w:rPr>
        <w:t>City</w:t>
      </w:r>
      <w:r>
        <w:rPr>
          <w:lang w:val="en-CA"/>
        </w:rPr>
        <w:t xml:space="preserve">’s </w:t>
      </w:r>
      <w:r w:rsidRPr="00BB372D">
        <w:rPr>
          <w:lang w:val="en-CA"/>
        </w:rPr>
        <w:t>D.C. Study</w:t>
      </w:r>
      <w:bookmarkEnd w:id="22"/>
    </w:p>
    <w:p w:rsidRPr="00BB372D" w:rsidR="00BB372D" w:rsidP="00BB372D" w:rsidRDefault="00BB372D" w14:paraId="622209D5" w14:textId="2A880080">
      <w:pPr>
        <w:pStyle w:val="BodyText125"/>
        <w:rPr>
          <w:lang w:val="en-CA" w:eastAsia="ja-JP"/>
        </w:rPr>
      </w:pPr>
      <w:proofErr w:type="gramStart"/>
      <w:r>
        <w:rPr>
          <w:lang w:val="en-CA" w:eastAsia="ja-JP"/>
        </w:rPr>
        <w:t>Subsequent to</w:t>
      </w:r>
      <w:proofErr w:type="gramEnd"/>
      <w:r>
        <w:rPr>
          <w:lang w:val="en-CA" w:eastAsia="ja-JP"/>
        </w:rPr>
        <w:t xml:space="preserve"> the release of the D.C. background study in 2023, the City of Cambridge undertook an update to the</w:t>
      </w:r>
      <w:r w:rsidR="004B6495">
        <w:rPr>
          <w:lang w:val="en-CA" w:eastAsia="ja-JP"/>
        </w:rPr>
        <w:t xml:space="preserve"> P</w:t>
      </w:r>
      <w:r>
        <w:rPr>
          <w:lang w:val="en-CA" w:eastAsia="ja-JP"/>
        </w:rPr>
        <w:t xml:space="preserve">arks and </w:t>
      </w:r>
      <w:r w:rsidR="004B6495">
        <w:rPr>
          <w:lang w:val="en-CA" w:eastAsia="ja-JP"/>
        </w:rPr>
        <w:t>R</w:t>
      </w:r>
      <w:r>
        <w:rPr>
          <w:lang w:val="en-CA" w:eastAsia="ja-JP"/>
        </w:rPr>
        <w:t xml:space="preserve">ecreation </w:t>
      </w:r>
      <w:r w:rsidR="004B6495">
        <w:rPr>
          <w:lang w:val="en-CA" w:eastAsia="ja-JP"/>
        </w:rPr>
        <w:t>M</w:t>
      </w:r>
      <w:r>
        <w:rPr>
          <w:lang w:val="en-CA" w:eastAsia="ja-JP"/>
        </w:rPr>
        <w:t xml:space="preserve">aster </w:t>
      </w:r>
      <w:r w:rsidR="004B6495">
        <w:rPr>
          <w:lang w:val="en-CA" w:eastAsia="ja-JP"/>
        </w:rPr>
        <w:t>P</w:t>
      </w:r>
      <w:r>
        <w:rPr>
          <w:lang w:val="en-CA" w:eastAsia="ja-JP"/>
        </w:rPr>
        <w:t>lan which has identified new and updated capital costs.  A detailed analysis of the City’s updated levels of service and capital program is provided in the following section.</w:t>
      </w:r>
    </w:p>
    <w:p w:rsidR="00652FE4" w:rsidP="00B16524" w:rsidRDefault="00BB372D" w14:paraId="7FA4101F" w14:textId="0FFA1038">
      <w:pPr>
        <w:pStyle w:val="Heading2"/>
        <w:numPr>
          <w:ilvl w:val="1"/>
          <w:numId w:val="3"/>
        </w:numPr>
        <w:rPr>
          <w:lang w:val="en-CA"/>
        </w:rPr>
      </w:pPr>
      <w:bookmarkStart w:name="_Toc213674178" w:id="23"/>
      <w:r>
        <w:rPr>
          <w:lang w:val="en-CA"/>
        </w:rPr>
        <w:t>Service Levels and 10-Year Capital Costs for D.C. Calculation</w:t>
      </w:r>
      <w:bookmarkEnd w:id="23"/>
    </w:p>
    <w:p w:rsidR="009027AF" w:rsidP="4FA7D9DC" w:rsidRDefault="00BB372D" w14:paraId="47292E52" w14:textId="75B7538E">
      <w:pPr>
        <w:pStyle w:val="BodyText125"/>
        <w:rPr>
          <w:lang w:eastAsia="ja-JP"/>
        </w:rPr>
      </w:pPr>
      <w:r w:rsidRPr="4FA7D9DC">
        <w:rPr>
          <w:lang w:eastAsia="ja-JP"/>
        </w:rPr>
        <w:t xml:space="preserve">A review of the City’s current parks and recreation inventory was undertaken as part of this D.C. update.  The </w:t>
      </w:r>
      <w:proofErr w:type="gramStart"/>
      <w:r w:rsidRPr="4FA7D9DC">
        <w:rPr>
          <w:lang w:eastAsia="ja-JP"/>
        </w:rPr>
        <w:t>City</w:t>
      </w:r>
      <w:proofErr w:type="gramEnd"/>
      <w:r w:rsidRPr="4FA7D9DC">
        <w:rPr>
          <w:lang w:eastAsia="ja-JP"/>
        </w:rPr>
        <w:t xml:space="preserve"> currently has </w:t>
      </w:r>
      <w:r w:rsidRPr="4FA7D9DC" w:rsidR="00A4657E">
        <w:rPr>
          <w:lang w:eastAsia="ja-JP"/>
        </w:rPr>
        <w:t xml:space="preserve">182.42 hectares of developed parkland and 68.35 hectares of recreation land, </w:t>
      </w:r>
      <w:proofErr w:type="spellStart"/>
      <w:r w:rsidRPr="4FA7D9DC" w:rsidR="00FD3110">
        <w:rPr>
          <w:lang w:eastAsia="ja-JP"/>
        </w:rPr>
        <w:t>totalling</w:t>
      </w:r>
      <w:proofErr w:type="spellEnd"/>
      <w:r w:rsidRPr="4FA7D9DC" w:rsidR="00A4657E">
        <w:rPr>
          <w:lang w:eastAsia="ja-JP"/>
        </w:rPr>
        <w:t xml:space="preserve"> 250.77 hectares within its jurisdiction.  The inventory provided over the previous 15-year period results in a calculated average level of service of 1.70 hectares per 1,000 population</w:t>
      </w:r>
      <w:r w:rsidRPr="4FA7D9DC" w:rsidR="005358FF">
        <w:rPr>
          <w:lang w:eastAsia="ja-JP"/>
        </w:rPr>
        <w:t xml:space="preserve">.  </w:t>
      </w:r>
    </w:p>
    <w:p w:rsidR="0036436D" w:rsidP="00BB372D" w:rsidRDefault="005358FF" w14:paraId="17D6B904" w14:textId="156C141E">
      <w:pPr>
        <w:pStyle w:val="BodyText125"/>
        <w:rPr>
          <w:lang w:val="en-CA" w:eastAsia="ja-JP"/>
        </w:rPr>
      </w:pPr>
      <w:r>
        <w:rPr>
          <w:lang w:val="en-CA" w:eastAsia="ja-JP"/>
        </w:rPr>
        <w:t xml:space="preserve">The </w:t>
      </w:r>
      <w:proofErr w:type="gramStart"/>
      <w:r>
        <w:rPr>
          <w:lang w:val="en-CA" w:eastAsia="ja-JP"/>
        </w:rPr>
        <w:t>City</w:t>
      </w:r>
      <w:proofErr w:type="gramEnd"/>
      <w:r>
        <w:rPr>
          <w:lang w:val="en-CA" w:eastAsia="ja-JP"/>
        </w:rPr>
        <w:t xml:space="preserve"> also currently provides 237 parkland amenities and 30 recreation amenities including various types of sports courts and fields, spray pads, pools, picnic shelters, pergolas, pavilions, skateboard parks, etc.  Over the historical 15-year period</w:t>
      </w:r>
      <w:r w:rsidR="009D2370">
        <w:rPr>
          <w:lang w:val="en-CA" w:eastAsia="ja-JP"/>
        </w:rPr>
        <w:t>,</w:t>
      </w:r>
      <w:r>
        <w:rPr>
          <w:lang w:val="en-CA" w:eastAsia="ja-JP"/>
        </w:rPr>
        <w:t xml:space="preserve"> the </w:t>
      </w:r>
      <w:proofErr w:type="gramStart"/>
      <w:r>
        <w:rPr>
          <w:lang w:val="en-CA" w:eastAsia="ja-JP"/>
        </w:rPr>
        <w:t>City</w:t>
      </w:r>
      <w:proofErr w:type="gramEnd"/>
      <w:r>
        <w:rPr>
          <w:lang w:val="en-CA" w:eastAsia="ja-JP"/>
        </w:rPr>
        <w:t xml:space="preserve"> provided an average of 6.60 amenities per 1,000 population.  </w:t>
      </w:r>
      <w:r w:rsidR="00A555FE">
        <w:rPr>
          <w:lang w:val="en-CA" w:eastAsia="ja-JP"/>
        </w:rPr>
        <w:t xml:space="preserve">Note: the </w:t>
      </w:r>
      <w:proofErr w:type="gramStart"/>
      <w:r w:rsidR="00A555FE">
        <w:rPr>
          <w:lang w:val="en-CA" w:eastAsia="ja-JP"/>
        </w:rPr>
        <w:t>City</w:t>
      </w:r>
      <w:proofErr w:type="gramEnd"/>
      <w:r w:rsidR="00A555FE">
        <w:rPr>
          <w:lang w:val="en-CA" w:eastAsia="ja-JP"/>
        </w:rPr>
        <w:t xml:space="preserve"> has recently updated </w:t>
      </w:r>
      <w:r w:rsidR="009763E0">
        <w:rPr>
          <w:lang w:val="en-CA" w:eastAsia="ja-JP"/>
        </w:rPr>
        <w:t xml:space="preserve">their </w:t>
      </w:r>
      <w:r w:rsidR="00A555FE">
        <w:rPr>
          <w:lang w:val="en-CA" w:eastAsia="ja-JP"/>
        </w:rPr>
        <w:t xml:space="preserve">asset management inventories.  The </w:t>
      </w:r>
      <w:r w:rsidR="00622550">
        <w:rPr>
          <w:lang w:val="en-CA" w:eastAsia="ja-JP"/>
        </w:rPr>
        <w:t xml:space="preserve">categorization, quantities, and replacement values of amenities for 2023 and 2024 reflect this updated information.  The historic inventory from 2010 to 2022 is reflective of information provided in the previous D.C. study. </w:t>
      </w:r>
    </w:p>
    <w:p w:rsidR="002B5384" w:rsidP="00BB372D" w:rsidRDefault="0036436D" w14:paraId="4850224B" w14:textId="7628F153">
      <w:pPr>
        <w:pStyle w:val="BodyText125"/>
        <w:rPr>
          <w:lang w:val="en-CA" w:eastAsia="ja-JP"/>
        </w:rPr>
      </w:pPr>
      <w:r>
        <w:rPr>
          <w:lang w:val="en-CA" w:eastAsia="ja-JP"/>
        </w:rPr>
        <w:t>In addition to the above</w:t>
      </w:r>
      <w:r w:rsidR="005358FF">
        <w:rPr>
          <w:lang w:val="en-CA" w:eastAsia="ja-JP"/>
        </w:rPr>
        <w:t xml:space="preserve">, the </w:t>
      </w:r>
      <w:proofErr w:type="gramStart"/>
      <w:r w:rsidR="005358FF">
        <w:rPr>
          <w:lang w:val="en-CA" w:eastAsia="ja-JP"/>
        </w:rPr>
        <w:t>City</w:t>
      </w:r>
      <w:proofErr w:type="gramEnd"/>
      <w:r w:rsidR="005358FF">
        <w:rPr>
          <w:lang w:val="en-CA" w:eastAsia="ja-JP"/>
        </w:rPr>
        <w:t xml:space="preserve"> has 119,157 </w:t>
      </w:r>
      <w:proofErr w:type="spellStart"/>
      <w:r w:rsidR="00734074">
        <w:rPr>
          <w:lang w:val="en-CA" w:eastAsia="ja-JP"/>
        </w:rPr>
        <w:t>sq</w:t>
      </w:r>
      <w:r w:rsidR="00AF709C">
        <w:rPr>
          <w:lang w:val="en-CA" w:eastAsia="ja-JP"/>
        </w:rPr>
        <w:t>.</w:t>
      </w:r>
      <w:r w:rsidR="00734074">
        <w:rPr>
          <w:lang w:val="en-CA" w:eastAsia="ja-JP"/>
        </w:rPr>
        <w:t>m</w:t>
      </w:r>
      <w:proofErr w:type="spellEnd"/>
      <w:r w:rsidR="00734074">
        <w:rPr>
          <w:lang w:val="en-CA" w:eastAsia="ja-JP"/>
        </w:rPr>
        <w:t xml:space="preserve"> of parking areas related to parks, which have provided an average of 817.10 </w:t>
      </w:r>
      <w:proofErr w:type="spellStart"/>
      <w:r w:rsidR="00734074">
        <w:rPr>
          <w:lang w:val="en-CA" w:eastAsia="ja-JP"/>
        </w:rPr>
        <w:t>sq</w:t>
      </w:r>
      <w:r w:rsidR="00AF709C">
        <w:rPr>
          <w:lang w:val="en-CA" w:eastAsia="ja-JP"/>
        </w:rPr>
        <w:t>.</w:t>
      </w:r>
      <w:r w:rsidR="00734074">
        <w:rPr>
          <w:lang w:val="en-CA" w:eastAsia="ja-JP"/>
        </w:rPr>
        <w:t>m</w:t>
      </w:r>
      <w:proofErr w:type="spellEnd"/>
      <w:r w:rsidR="005358FF">
        <w:rPr>
          <w:lang w:val="en-CA" w:eastAsia="ja-JP"/>
        </w:rPr>
        <w:t xml:space="preserve"> per 1,000 population.  </w:t>
      </w:r>
      <w:r w:rsidR="006B6ECE">
        <w:rPr>
          <w:lang w:val="en-CA" w:eastAsia="ja-JP"/>
        </w:rPr>
        <w:t>T</w:t>
      </w:r>
      <w:r w:rsidR="005358FF">
        <w:rPr>
          <w:lang w:val="en-CA" w:eastAsia="ja-JP"/>
        </w:rPr>
        <w:t xml:space="preserve">he </w:t>
      </w:r>
      <w:proofErr w:type="gramStart"/>
      <w:r w:rsidR="005358FF">
        <w:rPr>
          <w:lang w:val="en-CA" w:eastAsia="ja-JP"/>
        </w:rPr>
        <w:t>City</w:t>
      </w:r>
      <w:proofErr w:type="gramEnd"/>
      <w:r w:rsidR="006B6ECE">
        <w:rPr>
          <w:lang w:val="en-CA" w:eastAsia="ja-JP"/>
        </w:rPr>
        <w:t xml:space="preserve"> also</w:t>
      </w:r>
      <w:r w:rsidR="005358FF">
        <w:rPr>
          <w:lang w:val="en-CA" w:eastAsia="ja-JP"/>
        </w:rPr>
        <w:t xml:space="preserve"> has 93,568 linear metres of paths and trails which has provided an average of 470 linear meters per 1,000 population, over the 15-year period.  </w:t>
      </w:r>
    </w:p>
    <w:p w:rsidR="00BB372D" w:rsidP="00BB372D" w:rsidRDefault="005358FF" w14:paraId="096BA2B9" w14:textId="167B2B25">
      <w:pPr>
        <w:pStyle w:val="BodyText125"/>
        <w:rPr>
          <w:lang w:val="en-CA" w:eastAsia="ja-JP"/>
        </w:rPr>
      </w:pPr>
      <w:r>
        <w:rPr>
          <w:lang w:val="en-CA" w:eastAsia="ja-JP"/>
        </w:rPr>
        <w:t xml:space="preserve">Including parkland development, amenities, parking areas, and trails, the average level of service provided equates to $2,500 per capita.  When applied over the forecast period, this average level of service translates into a D.C.-eligible amount of approximately </w:t>
      </w:r>
      <w:r w:rsidR="00354D3B">
        <w:rPr>
          <w:lang w:val="en-CA" w:eastAsia="ja-JP"/>
        </w:rPr>
        <w:t>$58.7</w:t>
      </w:r>
      <w:r w:rsidR="006C0676">
        <w:rPr>
          <w:lang w:val="en-CA" w:eastAsia="ja-JP"/>
        </w:rPr>
        <w:t>5</w:t>
      </w:r>
      <w:r w:rsidR="00354D3B">
        <w:rPr>
          <w:lang w:val="en-CA" w:eastAsia="ja-JP"/>
        </w:rPr>
        <w:t xml:space="preserve"> million.</w:t>
      </w:r>
    </w:p>
    <w:p w:rsidR="0017327C" w:rsidP="00BB372D" w:rsidRDefault="005358FF" w14:paraId="53759AAC" w14:textId="4CA1468B">
      <w:pPr>
        <w:pStyle w:val="BodyText125"/>
        <w:rPr>
          <w:lang w:eastAsia="ja-JP"/>
        </w:rPr>
      </w:pPr>
      <w:r w:rsidRPr="005358FF">
        <w:rPr>
          <w:lang w:eastAsia="ja-JP"/>
        </w:rPr>
        <w:t xml:space="preserve">With respect to recreation facilities, there are </w:t>
      </w:r>
      <w:proofErr w:type="gramStart"/>
      <w:r w:rsidRPr="005358FF">
        <w:rPr>
          <w:lang w:eastAsia="ja-JP"/>
        </w:rPr>
        <w:t>a number of</w:t>
      </w:r>
      <w:proofErr w:type="gramEnd"/>
      <w:r w:rsidRPr="005358FF">
        <w:rPr>
          <w:lang w:eastAsia="ja-JP"/>
        </w:rPr>
        <w:t xml:space="preserve"> facilities that provide the </w:t>
      </w:r>
      <w:proofErr w:type="gramStart"/>
      <w:r w:rsidRPr="005358FF">
        <w:rPr>
          <w:lang w:eastAsia="ja-JP"/>
        </w:rPr>
        <w:t>City</w:t>
      </w:r>
      <w:proofErr w:type="gramEnd"/>
      <w:r w:rsidRPr="005358FF">
        <w:rPr>
          <w:lang w:eastAsia="ja-JP"/>
        </w:rPr>
        <w:t xml:space="preserve"> with 5</w:t>
      </w:r>
      <w:r w:rsidR="00354D3B">
        <w:rPr>
          <w:lang w:eastAsia="ja-JP"/>
        </w:rPr>
        <w:t>9,403</w:t>
      </w:r>
      <w:r w:rsidRPr="005358FF">
        <w:rPr>
          <w:lang w:eastAsia="ja-JP"/>
        </w:rPr>
        <w:t xml:space="preserve"> </w:t>
      </w:r>
      <w:proofErr w:type="spellStart"/>
      <w:r w:rsidRPr="005358FF">
        <w:rPr>
          <w:lang w:eastAsia="ja-JP"/>
        </w:rPr>
        <w:t>sq.m</w:t>
      </w:r>
      <w:proofErr w:type="spellEnd"/>
      <w:r w:rsidRPr="005358FF">
        <w:rPr>
          <w:lang w:eastAsia="ja-JP"/>
        </w:rPr>
        <w:t xml:space="preserve"> of recreation facility space. Based on the inventory of space over the </w:t>
      </w:r>
      <w:r w:rsidRPr="005358FF">
        <w:rPr>
          <w:lang w:eastAsia="ja-JP"/>
        </w:rPr>
        <w:t>historical 15-year period (20</w:t>
      </w:r>
      <w:r w:rsidR="00354D3B">
        <w:rPr>
          <w:lang w:eastAsia="ja-JP"/>
        </w:rPr>
        <w:t>10</w:t>
      </w:r>
      <w:r w:rsidRPr="005358FF">
        <w:rPr>
          <w:lang w:eastAsia="ja-JP"/>
        </w:rPr>
        <w:t xml:space="preserve"> to 202</w:t>
      </w:r>
      <w:r w:rsidR="00354D3B">
        <w:rPr>
          <w:lang w:eastAsia="ja-JP"/>
        </w:rPr>
        <w:t>4</w:t>
      </w:r>
      <w:r w:rsidRPr="005358FF">
        <w:rPr>
          <w:lang w:eastAsia="ja-JP"/>
        </w:rPr>
        <w:t xml:space="preserve">), the </w:t>
      </w:r>
      <w:proofErr w:type="gramStart"/>
      <w:r w:rsidRPr="005358FF">
        <w:rPr>
          <w:lang w:eastAsia="ja-JP"/>
        </w:rPr>
        <w:t>City</w:t>
      </w:r>
      <w:proofErr w:type="gramEnd"/>
      <w:r w:rsidRPr="005358FF">
        <w:rPr>
          <w:lang w:eastAsia="ja-JP"/>
        </w:rPr>
        <w:t xml:space="preserve"> has provided an average of 0.</w:t>
      </w:r>
      <w:r w:rsidRPr="005358FF" w:rsidR="0017327C">
        <w:rPr>
          <w:lang w:eastAsia="ja-JP"/>
        </w:rPr>
        <w:t>3</w:t>
      </w:r>
      <w:r w:rsidR="0017327C">
        <w:rPr>
          <w:lang w:eastAsia="ja-JP"/>
        </w:rPr>
        <w:t>9</w:t>
      </w:r>
      <w:r w:rsidRPr="005358FF" w:rsidR="0017327C">
        <w:rPr>
          <w:lang w:eastAsia="ja-JP"/>
        </w:rPr>
        <w:t xml:space="preserve"> </w:t>
      </w:r>
      <w:proofErr w:type="spellStart"/>
      <w:r w:rsidRPr="005358FF">
        <w:rPr>
          <w:lang w:eastAsia="ja-JP"/>
        </w:rPr>
        <w:t>sq.m</w:t>
      </w:r>
      <w:proofErr w:type="spellEnd"/>
      <w:r w:rsidRPr="005358FF">
        <w:rPr>
          <w:lang w:eastAsia="ja-JP"/>
        </w:rPr>
        <w:t xml:space="preserve"> of space per capita or an investment of $3,7</w:t>
      </w:r>
      <w:r w:rsidR="006404FC">
        <w:rPr>
          <w:lang w:eastAsia="ja-JP"/>
        </w:rPr>
        <w:t>20</w:t>
      </w:r>
      <w:r w:rsidRPr="005358FF">
        <w:rPr>
          <w:lang w:eastAsia="ja-JP"/>
        </w:rPr>
        <w:t xml:space="preserve"> per capita. Based on this service standard, the City would be eligible to collect approximately $87.</w:t>
      </w:r>
      <w:r w:rsidR="006404FC">
        <w:rPr>
          <w:lang w:eastAsia="ja-JP"/>
        </w:rPr>
        <w:t>41</w:t>
      </w:r>
      <w:r w:rsidRPr="005358FF">
        <w:rPr>
          <w:lang w:eastAsia="ja-JP"/>
        </w:rPr>
        <w:t xml:space="preserve"> million from D.C.s for facility space. </w:t>
      </w:r>
    </w:p>
    <w:p w:rsidR="006404FC" w:rsidP="00BB372D" w:rsidRDefault="005358FF" w14:paraId="225B6412" w14:textId="3A4322D9">
      <w:pPr>
        <w:pStyle w:val="BodyText125"/>
        <w:rPr>
          <w:lang w:eastAsia="ja-JP"/>
        </w:rPr>
      </w:pPr>
      <w:r w:rsidRPr="005358FF">
        <w:rPr>
          <w:lang w:eastAsia="ja-JP"/>
        </w:rPr>
        <w:t xml:space="preserve">The </w:t>
      </w:r>
      <w:proofErr w:type="gramStart"/>
      <w:r w:rsidRPr="005358FF">
        <w:rPr>
          <w:lang w:eastAsia="ja-JP"/>
        </w:rPr>
        <w:t>City</w:t>
      </w:r>
      <w:proofErr w:type="gramEnd"/>
      <w:r w:rsidRPr="005358FF">
        <w:rPr>
          <w:lang w:eastAsia="ja-JP"/>
        </w:rPr>
        <w:t xml:space="preserve"> utilizes approximately 3</w:t>
      </w:r>
      <w:r w:rsidR="006404FC">
        <w:rPr>
          <w:lang w:eastAsia="ja-JP"/>
        </w:rPr>
        <w:t>41</w:t>
      </w:r>
      <w:r w:rsidRPr="005358FF">
        <w:rPr>
          <w:lang w:eastAsia="ja-JP"/>
        </w:rPr>
        <w:t xml:space="preserve"> vehicles and </w:t>
      </w:r>
      <w:r w:rsidR="0017327C">
        <w:rPr>
          <w:lang w:eastAsia="ja-JP"/>
        </w:rPr>
        <w:t xml:space="preserve">pieces of equipment to service the </w:t>
      </w:r>
      <w:proofErr w:type="gramStart"/>
      <w:r w:rsidR="0017327C">
        <w:rPr>
          <w:lang w:eastAsia="ja-JP"/>
        </w:rPr>
        <w:t>aforementioned</w:t>
      </w:r>
      <w:r w:rsidRPr="005358FF">
        <w:rPr>
          <w:lang w:eastAsia="ja-JP"/>
        </w:rPr>
        <w:t xml:space="preserve"> parks</w:t>
      </w:r>
      <w:proofErr w:type="gramEnd"/>
      <w:r w:rsidRPr="005358FF">
        <w:rPr>
          <w:lang w:eastAsia="ja-JP"/>
        </w:rPr>
        <w:t xml:space="preserve"> and recreation facilities. Over the historical 15-year period, the </w:t>
      </w:r>
      <w:proofErr w:type="gramStart"/>
      <w:r w:rsidRPr="005358FF">
        <w:rPr>
          <w:lang w:eastAsia="ja-JP"/>
        </w:rPr>
        <w:t>City</w:t>
      </w:r>
      <w:proofErr w:type="gramEnd"/>
      <w:r w:rsidRPr="005358FF">
        <w:rPr>
          <w:lang w:eastAsia="ja-JP"/>
        </w:rPr>
        <w:t xml:space="preserve"> has provided an average level of service of 2.50 vehicles per 1,000 population. This level of service translates to an average investment of $</w:t>
      </w:r>
      <w:r w:rsidR="006404FC">
        <w:rPr>
          <w:lang w:eastAsia="ja-JP"/>
        </w:rPr>
        <w:t>7</w:t>
      </w:r>
      <w:r w:rsidRPr="005358FF">
        <w:rPr>
          <w:lang w:eastAsia="ja-JP"/>
        </w:rPr>
        <w:t>0 per capita. Over the forecast period, the City would be eligible to collect approximately $1.</w:t>
      </w:r>
      <w:r w:rsidR="006404FC">
        <w:rPr>
          <w:lang w:eastAsia="ja-JP"/>
        </w:rPr>
        <w:t>64</w:t>
      </w:r>
      <w:r w:rsidRPr="005358FF">
        <w:rPr>
          <w:lang w:eastAsia="ja-JP"/>
        </w:rPr>
        <w:t xml:space="preserve"> million from D.C.s for vehicles and equipment. </w:t>
      </w:r>
    </w:p>
    <w:p w:rsidR="006A690E" w:rsidP="00BB372D" w:rsidRDefault="006A690E" w14:paraId="7946F8CB" w14:textId="17C29945">
      <w:pPr>
        <w:pStyle w:val="BodyText125"/>
        <w:rPr>
          <w:lang w:eastAsia="ja-JP"/>
        </w:rPr>
      </w:pPr>
      <w:r>
        <w:rPr>
          <w:lang w:eastAsia="ja-JP"/>
        </w:rPr>
        <w:t xml:space="preserve">Based on the </w:t>
      </w:r>
      <w:proofErr w:type="gramStart"/>
      <w:r>
        <w:rPr>
          <w:lang w:eastAsia="ja-JP"/>
        </w:rPr>
        <w:t>above updated</w:t>
      </w:r>
      <w:proofErr w:type="gramEnd"/>
      <w:r>
        <w:rPr>
          <w:lang w:eastAsia="ja-JP"/>
        </w:rPr>
        <w:t xml:space="preserve"> service standards, the City’s total D.C.-eligible amount has increased from approximately $125.57 million to $147.</w:t>
      </w:r>
      <w:r w:rsidR="001D4887">
        <w:rPr>
          <w:lang w:eastAsia="ja-JP"/>
        </w:rPr>
        <w:t>79</w:t>
      </w:r>
      <w:r>
        <w:rPr>
          <w:lang w:eastAsia="ja-JP"/>
        </w:rPr>
        <w:t xml:space="preserve"> million for parks and recreation services.</w:t>
      </w:r>
    </w:p>
    <w:p w:rsidR="0094676F" w:rsidP="00BB372D" w:rsidRDefault="005358FF" w14:paraId="4F2705FB" w14:textId="4BD9E37F">
      <w:pPr>
        <w:pStyle w:val="BodyText125"/>
        <w:rPr>
          <w:lang w:eastAsia="ja-JP"/>
        </w:rPr>
      </w:pPr>
      <w:r w:rsidRPr="005358FF">
        <w:rPr>
          <w:lang w:eastAsia="ja-JP"/>
        </w:rPr>
        <w:t xml:space="preserve">Based on </w:t>
      </w:r>
      <w:r w:rsidR="00A25216">
        <w:rPr>
          <w:lang w:eastAsia="ja-JP"/>
        </w:rPr>
        <w:t>updates to the City’s Parks and Recreation Master Plan</w:t>
      </w:r>
      <w:r w:rsidR="003A6906">
        <w:rPr>
          <w:lang w:eastAsia="ja-JP"/>
        </w:rPr>
        <w:t xml:space="preserve"> and the City’s capital forecast, the </w:t>
      </w:r>
      <w:proofErr w:type="gramStart"/>
      <w:r w:rsidR="003A6906">
        <w:rPr>
          <w:lang w:eastAsia="ja-JP"/>
        </w:rPr>
        <w:t>City</w:t>
      </w:r>
      <w:proofErr w:type="gramEnd"/>
      <w:r w:rsidR="003A6906">
        <w:rPr>
          <w:lang w:eastAsia="ja-JP"/>
        </w:rPr>
        <w:t xml:space="preserve"> has identified future capital needs </w:t>
      </w:r>
      <w:proofErr w:type="spellStart"/>
      <w:r w:rsidR="003A6906">
        <w:rPr>
          <w:lang w:eastAsia="ja-JP"/>
        </w:rPr>
        <w:t>totalling</w:t>
      </w:r>
      <w:proofErr w:type="spellEnd"/>
      <w:r w:rsidRPr="005358FF">
        <w:rPr>
          <w:lang w:eastAsia="ja-JP"/>
        </w:rPr>
        <w:t xml:space="preserve"> approximately $</w:t>
      </w:r>
      <w:r w:rsidR="00E404C3">
        <w:rPr>
          <w:lang w:eastAsia="ja-JP"/>
        </w:rPr>
        <w:t>117.82</w:t>
      </w:r>
      <w:r w:rsidRPr="005358FF">
        <w:rPr>
          <w:lang w:eastAsia="ja-JP"/>
        </w:rPr>
        <w:t xml:space="preserve"> million. </w:t>
      </w:r>
      <w:r w:rsidR="003A6906">
        <w:rPr>
          <w:lang w:eastAsia="ja-JP"/>
        </w:rPr>
        <w:t xml:space="preserve"> </w:t>
      </w:r>
      <w:r w:rsidR="00D51177">
        <w:rPr>
          <w:lang w:eastAsia="ja-JP"/>
        </w:rPr>
        <w:t xml:space="preserve">Approximately </w:t>
      </w:r>
      <w:r w:rsidR="007C33CE">
        <w:rPr>
          <w:lang w:eastAsia="ja-JP"/>
        </w:rPr>
        <w:t>61</w:t>
      </w:r>
      <w:r w:rsidR="00D51177">
        <w:rPr>
          <w:lang w:eastAsia="ja-JP"/>
        </w:rPr>
        <w:t>% of th</w:t>
      </w:r>
      <w:r w:rsidR="00AE5A16">
        <w:rPr>
          <w:lang w:eastAsia="ja-JP"/>
        </w:rPr>
        <w:t xml:space="preserve">e capital needs </w:t>
      </w:r>
      <w:r w:rsidR="00393B44">
        <w:rPr>
          <w:lang w:eastAsia="ja-JP"/>
        </w:rPr>
        <w:t>are</w:t>
      </w:r>
      <w:r w:rsidR="00AE5A16">
        <w:rPr>
          <w:lang w:eastAsia="ja-JP"/>
        </w:rPr>
        <w:t xml:space="preserve"> related to the </w:t>
      </w:r>
      <w:r w:rsidR="006D7821">
        <w:rPr>
          <w:lang w:eastAsia="ja-JP"/>
        </w:rPr>
        <w:t xml:space="preserve">new </w:t>
      </w:r>
      <w:r w:rsidR="00AE5A16">
        <w:rPr>
          <w:lang w:eastAsia="ja-JP"/>
        </w:rPr>
        <w:t>recreation complex</w:t>
      </w:r>
      <w:r w:rsidR="0097071A">
        <w:rPr>
          <w:lang w:eastAsia="ja-JP"/>
        </w:rPr>
        <w:t>.  The scope of this project ha</w:t>
      </w:r>
      <w:r w:rsidR="003A086A">
        <w:rPr>
          <w:lang w:eastAsia="ja-JP"/>
        </w:rPr>
        <w:t xml:space="preserve">s </w:t>
      </w:r>
      <w:r w:rsidR="00F60EF6">
        <w:rPr>
          <w:lang w:eastAsia="ja-JP"/>
        </w:rPr>
        <w:t xml:space="preserve">changed </w:t>
      </w:r>
      <w:r w:rsidR="00B62D48">
        <w:rPr>
          <w:lang w:eastAsia="ja-JP"/>
        </w:rPr>
        <w:t xml:space="preserve">since the 2023 D.C. study and therefore </w:t>
      </w:r>
      <w:r w:rsidR="00DD5EEF">
        <w:rPr>
          <w:lang w:eastAsia="ja-JP"/>
        </w:rPr>
        <w:t>updated costs, financing</w:t>
      </w:r>
      <w:r w:rsidR="00134D7B">
        <w:rPr>
          <w:lang w:eastAsia="ja-JP"/>
        </w:rPr>
        <w:t xml:space="preserve">, and reductions for benefit to existing development </w:t>
      </w:r>
      <w:r w:rsidR="00242AE2">
        <w:rPr>
          <w:lang w:eastAsia="ja-JP"/>
        </w:rPr>
        <w:t>have been included as part of this update study.</w:t>
      </w:r>
      <w:r w:rsidR="00A069B5">
        <w:rPr>
          <w:lang w:eastAsia="ja-JP"/>
        </w:rPr>
        <w:t xml:space="preserve">  The City has identified a </w:t>
      </w:r>
      <w:r w:rsidR="009019D8">
        <w:rPr>
          <w:lang w:eastAsia="ja-JP"/>
        </w:rPr>
        <w:t>provincial grant</w:t>
      </w:r>
      <w:r w:rsidR="0053417D">
        <w:rPr>
          <w:lang w:eastAsia="ja-JP"/>
        </w:rPr>
        <w:t xml:space="preserve"> of approximately $20.59 million (2023 </w:t>
      </w:r>
      <w:r w:rsidR="008D11E2">
        <w:rPr>
          <w:lang w:eastAsia="ja-JP"/>
        </w:rPr>
        <w:t>dollars</w:t>
      </w:r>
      <w:r w:rsidR="0053417D">
        <w:rPr>
          <w:lang w:eastAsia="ja-JP"/>
        </w:rPr>
        <w:t>)</w:t>
      </w:r>
      <w:r w:rsidR="009019D8">
        <w:rPr>
          <w:lang w:eastAsia="ja-JP"/>
        </w:rPr>
        <w:t xml:space="preserve"> through the Community Sport and Recreation Infrastructure Fund</w:t>
      </w:r>
      <w:r w:rsidR="002F1A7D">
        <w:rPr>
          <w:lang w:eastAsia="ja-JP"/>
        </w:rPr>
        <w:t xml:space="preserve">.  </w:t>
      </w:r>
      <w:r w:rsidR="00A63B3E">
        <w:rPr>
          <w:lang w:eastAsia="ja-JP"/>
        </w:rPr>
        <w:t xml:space="preserve">In addition, </w:t>
      </w:r>
      <w:r w:rsidR="00AB133D">
        <w:rPr>
          <w:lang w:eastAsia="ja-JP"/>
        </w:rPr>
        <w:t xml:space="preserve">the </w:t>
      </w:r>
      <w:r w:rsidR="009F57DC">
        <w:rPr>
          <w:lang w:eastAsia="ja-JP"/>
        </w:rPr>
        <w:t xml:space="preserve">D.C. Background Study included a </w:t>
      </w:r>
      <w:r w:rsidR="00E47EBE">
        <w:rPr>
          <w:lang w:eastAsia="ja-JP"/>
        </w:rPr>
        <w:t xml:space="preserve">benefit to existing development deduction to recognize that the facility was going to replace an existing indoor pool, however, the existing pool will remain in </w:t>
      </w:r>
      <w:proofErr w:type="gramStart"/>
      <w:r w:rsidR="00E47EBE">
        <w:rPr>
          <w:lang w:eastAsia="ja-JP"/>
        </w:rPr>
        <w:t>service</w:t>
      </w:r>
      <w:proofErr w:type="gramEnd"/>
      <w:r w:rsidR="00E47EBE">
        <w:rPr>
          <w:lang w:eastAsia="ja-JP"/>
        </w:rPr>
        <w:t xml:space="preserve"> and the new recreation complex will not be replacing any existing facilities.  As a result, the</w:t>
      </w:r>
      <w:r w:rsidR="002C36FB">
        <w:rPr>
          <w:lang w:eastAsia="ja-JP"/>
        </w:rPr>
        <w:t xml:space="preserve"> deduction to account for the benefit to existing development has been removed. </w:t>
      </w:r>
    </w:p>
    <w:p w:rsidR="00A5470E" w:rsidP="00BB372D" w:rsidRDefault="0094676F" w14:paraId="7C657E4E" w14:textId="0CF32E46">
      <w:pPr>
        <w:pStyle w:val="BodyText125"/>
        <w:rPr>
          <w:lang w:eastAsia="ja-JP"/>
        </w:rPr>
      </w:pPr>
      <w:r>
        <w:rPr>
          <w:lang w:eastAsia="ja-JP"/>
        </w:rPr>
        <w:t>With respect to t</w:t>
      </w:r>
      <w:r w:rsidRPr="005358FF" w:rsidR="005358FF">
        <w:rPr>
          <w:lang w:eastAsia="ja-JP"/>
        </w:rPr>
        <w:t>he</w:t>
      </w:r>
      <w:r w:rsidR="003C650E">
        <w:rPr>
          <w:lang w:eastAsia="ja-JP"/>
        </w:rPr>
        <w:t xml:space="preserve"> </w:t>
      </w:r>
      <w:r w:rsidR="008A6A20">
        <w:rPr>
          <w:lang w:eastAsia="ja-JP"/>
        </w:rPr>
        <w:t>additional capital needs, co</w:t>
      </w:r>
      <w:r w:rsidR="007060DE">
        <w:rPr>
          <w:lang w:eastAsia="ja-JP"/>
        </w:rPr>
        <w:t xml:space="preserve">sting has been updated where new estimates are available. </w:t>
      </w:r>
      <w:r w:rsidR="00864269">
        <w:rPr>
          <w:lang w:eastAsia="ja-JP"/>
        </w:rPr>
        <w:t xml:space="preserve">  </w:t>
      </w:r>
    </w:p>
    <w:p w:rsidR="005168AD" w:rsidP="00BB372D" w:rsidRDefault="00A5470E" w14:paraId="535497FA" w14:textId="5F2CD2E8">
      <w:pPr>
        <w:pStyle w:val="BodyText125"/>
        <w:rPr>
          <w:lang w:eastAsia="ja-JP"/>
        </w:rPr>
      </w:pPr>
      <w:r>
        <w:rPr>
          <w:lang w:eastAsia="ja-JP"/>
        </w:rPr>
        <w:t>In addition to the capital needs</w:t>
      </w:r>
      <w:r w:rsidRPr="005358FF" w:rsidR="008654F1">
        <w:rPr>
          <w:lang w:eastAsia="ja-JP"/>
        </w:rPr>
        <w:t>, approximately $</w:t>
      </w:r>
      <w:r w:rsidR="005D2B4F">
        <w:rPr>
          <w:lang w:eastAsia="ja-JP"/>
        </w:rPr>
        <w:t>32</w:t>
      </w:r>
      <w:r w:rsidR="008654F1">
        <w:rPr>
          <w:lang w:eastAsia="ja-JP"/>
        </w:rPr>
        <w:t>.99</w:t>
      </w:r>
      <w:r w:rsidRPr="005358FF" w:rsidR="008654F1">
        <w:rPr>
          <w:lang w:eastAsia="ja-JP"/>
        </w:rPr>
        <w:t xml:space="preserve"> million has been included to account for existing debt (growth-related principal and discounted growth-related interest), approved but not yet issued debt (growth-related principal and discounted growth-related interest), and future debt amounts (discounted growth-related interest).</w:t>
      </w:r>
      <w:r w:rsidR="008654F1">
        <w:rPr>
          <w:lang w:eastAsia="ja-JP"/>
        </w:rPr>
        <w:t xml:space="preserve">  </w:t>
      </w:r>
    </w:p>
    <w:p w:rsidR="006404FC" w:rsidP="00BB372D" w:rsidRDefault="005358FF" w14:paraId="4A923844" w14:textId="2C4278B2">
      <w:pPr>
        <w:pStyle w:val="BodyText125"/>
        <w:rPr>
          <w:lang w:eastAsia="ja-JP"/>
        </w:rPr>
      </w:pPr>
      <w:r w:rsidRPr="005358FF">
        <w:rPr>
          <w:lang w:eastAsia="ja-JP"/>
        </w:rPr>
        <w:t>Of the total estimated capital cost, a deduction of approximately $</w:t>
      </w:r>
      <w:r w:rsidR="008654F1">
        <w:rPr>
          <w:lang w:eastAsia="ja-JP"/>
        </w:rPr>
        <w:t>1</w:t>
      </w:r>
      <w:r w:rsidR="00E92111">
        <w:rPr>
          <w:lang w:eastAsia="ja-JP"/>
        </w:rPr>
        <w:t>9</w:t>
      </w:r>
      <w:r w:rsidR="008654F1">
        <w:rPr>
          <w:lang w:eastAsia="ja-JP"/>
        </w:rPr>
        <w:t>.</w:t>
      </w:r>
      <w:r w:rsidR="00E92111">
        <w:rPr>
          <w:lang w:eastAsia="ja-JP"/>
        </w:rPr>
        <w:t>43</w:t>
      </w:r>
      <w:r w:rsidRPr="005358FF">
        <w:rPr>
          <w:lang w:eastAsia="ja-JP"/>
        </w:rPr>
        <w:t xml:space="preserve"> million has been made for the share of costs anticipated to benefit growth outside the forecast period. A deduction of approximately $</w:t>
      </w:r>
      <w:r w:rsidR="008654F1">
        <w:rPr>
          <w:lang w:eastAsia="ja-JP"/>
        </w:rPr>
        <w:t>2.</w:t>
      </w:r>
      <w:r w:rsidR="006F0974">
        <w:rPr>
          <w:lang w:eastAsia="ja-JP"/>
        </w:rPr>
        <w:t>6</w:t>
      </w:r>
      <w:r w:rsidR="009073EE">
        <w:rPr>
          <w:lang w:eastAsia="ja-JP"/>
        </w:rPr>
        <w:t>5</w:t>
      </w:r>
      <w:r w:rsidRPr="005358FF">
        <w:rPr>
          <w:lang w:eastAsia="ja-JP"/>
        </w:rPr>
        <w:t xml:space="preserve"> million has been applied for the share of the costs that benefit existing development. Additionally, approximately $19.58 million has been deducted from the calculations to reflect the balance in the D.C. reserve fund. This results in a net growth-related amount of approximately $</w:t>
      </w:r>
      <w:r w:rsidR="00D0617E">
        <w:rPr>
          <w:lang w:eastAsia="ja-JP"/>
        </w:rPr>
        <w:t>129.33</w:t>
      </w:r>
      <w:r w:rsidRPr="005358FF">
        <w:rPr>
          <w:lang w:eastAsia="ja-JP"/>
        </w:rPr>
        <w:t xml:space="preserve"> million being included in the D.C. calculations</w:t>
      </w:r>
      <w:r w:rsidR="008654F1">
        <w:rPr>
          <w:lang w:eastAsia="ja-JP"/>
        </w:rPr>
        <w:t>.</w:t>
      </w:r>
    </w:p>
    <w:p w:rsidR="005358FF" w:rsidP="00BB372D" w:rsidRDefault="005358FF" w14:paraId="3AEB58C1" w14:textId="78808978">
      <w:pPr>
        <w:pStyle w:val="BodyText125"/>
        <w:rPr>
          <w:lang w:val="en-CA" w:eastAsia="ja-JP"/>
        </w:rPr>
      </w:pPr>
      <w:r w:rsidRPr="005358FF">
        <w:rPr>
          <w:lang w:eastAsia="ja-JP"/>
        </w:rPr>
        <w:t xml:space="preserve">As the predominant users of parks and recreation tend to be residents of the </w:t>
      </w:r>
      <w:proofErr w:type="gramStart"/>
      <w:r w:rsidRPr="005358FF">
        <w:rPr>
          <w:lang w:eastAsia="ja-JP"/>
        </w:rPr>
        <w:t>City</w:t>
      </w:r>
      <w:proofErr w:type="gramEnd"/>
      <w:r w:rsidRPr="005358FF">
        <w:rPr>
          <w:lang w:eastAsia="ja-JP"/>
        </w:rPr>
        <w:t xml:space="preserve">, </w:t>
      </w:r>
      <w:r w:rsidR="00E06D55">
        <w:rPr>
          <w:lang w:eastAsia="ja-JP"/>
        </w:rPr>
        <w:t>forecasted growth-related costs have been allocated 95% to residential</w:t>
      </w:r>
      <w:r w:rsidR="00671398">
        <w:rPr>
          <w:lang w:eastAsia="ja-JP"/>
        </w:rPr>
        <w:t xml:space="preserve"> development</w:t>
      </w:r>
      <w:r w:rsidR="00E06D55">
        <w:rPr>
          <w:lang w:eastAsia="ja-JP"/>
        </w:rPr>
        <w:t xml:space="preserve"> and 5% to non-residential</w:t>
      </w:r>
      <w:r w:rsidR="00671398">
        <w:rPr>
          <w:lang w:eastAsia="ja-JP"/>
        </w:rPr>
        <w:t xml:space="preserve"> development</w:t>
      </w:r>
      <w:r w:rsidR="006A690E">
        <w:rPr>
          <w:lang w:eastAsia="ja-JP"/>
        </w:rPr>
        <w:t>, consistent with the 2023 D.C. Background Study.</w:t>
      </w:r>
    </w:p>
    <w:p w:rsidRPr="00202E76" w:rsidR="00BB372D" w:rsidP="00BB372D" w:rsidRDefault="00BB372D" w14:paraId="06C18C3C" w14:textId="0A493DF4">
      <w:pPr>
        <w:pStyle w:val="BodyText125"/>
        <w:rPr>
          <w:lang w:val="en-CA" w:eastAsia="ja-JP"/>
        </w:rPr>
      </w:pPr>
      <w:r w:rsidRPr="004D44E8">
        <w:rPr>
          <w:lang w:val="en-CA" w:eastAsia="ja-JP"/>
        </w:rPr>
        <w:t xml:space="preserve">The updated service standard calculation for </w:t>
      </w:r>
      <w:r w:rsidRPr="004D44E8" w:rsidR="004D44E8">
        <w:rPr>
          <w:lang w:val="en-CA" w:eastAsia="ja-JP"/>
        </w:rPr>
        <w:t>parks and recreation</w:t>
      </w:r>
      <w:r w:rsidRPr="004D44E8">
        <w:rPr>
          <w:lang w:val="en-CA" w:eastAsia="ja-JP"/>
        </w:rPr>
        <w:t xml:space="preserve"> services is provided in Appendix B.  As the total costs included in the D.C. calculation for </w:t>
      </w:r>
      <w:r w:rsidRPr="004D44E8" w:rsidR="006A690E">
        <w:rPr>
          <w:lang w:val="en-CA" w:eastAsia="ja-JP"/>
        </w:rPr>
        <w:t>parks and recreation</w:t>
      </w:r>
      <w:r w:rsidRPr="004D44E8">
        <w:rPr>
          <w:lang w:val="en-CA" w:eastAsia="ja-JP"/>
        </w:rPr>
        <w:t xml:space="preserve"> total </w:t>
      </w:r>
      <w:r w:rsidRPr="004D44E8" w:rsidR="006A690E">
        <w:rPr>
          <w:lang w:val="en-CA" w:eastAsia="ja-JP"/>
        </w:rPr>
        <w:t xml:space="preserve">approximately </w:t>
      </w:r>
      <w:r w:rsidRPr="004D44E8">
        <w:rPr>
          <w:lang w:val="en-CA" w:eastAsia="ja-JP"/>
        </w:rPr>
        <w:t>$</w:t>
      </w:r>
      <w:r w:rsidR="004A28C2">
        <w:rPr>
          <w:lang w:val="en-CA" w:eastAsia="ja-JP"/>
        </w:rPr>
        <w:t>129.33</w:t>
      </w:r>
      <w:r w:rsidRPr="004D44E8">
        <w:rPr>
          <w:lang w:val="en-CA" w:eastAsia="ja-JP"/>
        </w:rPr>
        <w:t xml:space="preserve"> million, the capital needs are within the service standard cap</w:t>
      </w:r>
      <w:r w:rsidRPr="004D44E8" w:rsidR="006A690E">
        <w:rPr>
          <w:lang w:val="en-CA" w:eastAsia="ja-JP"/>
        </w:rPr>
        <w:t xml:space="preserve"> of $147.</w:t>
      </w:r>
      <w:r w:rsidR="003A6585">
        <w:rPr>
          <w:lang w:val="en-CA" w:eastAsia="ja-JP"/>
        </w:rPr>
        <w:t>79</w:t>
      </w:r>
      <w:r w:rsidRPr="004D44E8" w:rsidR="006A690E">
        <w:rPr>
          <w:lang w:val="en-CA" w:eastAsia="ja-JP"/>
        </w:rPr>
        <w:t xml:space="preserve"> million</w:t>
      </w:r>
      <w:r w:rsidRPr="004D44E8">
        <w:rPr>
          <w:lang w:val="en-CA" w:eastAsia="ja-JP"/>
        </w:rPr>
        <w:t>.</w:t>
      </w:r>
    </w:p>
    <w:p w:rsidR="00BB372D" w:rsidP="00BB372D" w:rsidRDefault="00BB372D" w14:paraId="520A1729" w14:textId="5B10DE2B">
      <w:pPr>
        <w:pStyle w:val="BodyText125"/>
        <w:rPr>
          <w:lang w:val="en-CA" w:eastAsia="ja-JP"/>
        </w:rPr>
      </w:pPr>
      <w:r>
        <w:rPr>
          <w:lang w:val="en-CA" w:eastAsia="ja-JP"/>
        </w:rPr>
        <w:t xml:space="preserve">Table </w:t>
      </w:r>
      <w:r w:rsidR="006A690E">
        <w:rPr>
          <w:lang w:val="en-CA" w:eastAsia="ja-JP"/>
        </w:rPr>
        <w:t>3-1</w:t>
      </w:r>
      <w:r>
        <w:rPr>
          <w:lang w:val="en-CA" w:eastAsia="ja-JP"/>
        </w:rPr>
        <w:t xml:space="preserve"> provides for the updated </w:t>
      </w:r>
      <w:r w:rsidR="006A690E">
        <w:rPr>
          <w:lang w:val="en-CA" w:eastAsia="ja-JP"/>
        </w:rPr>
        <w:t>parks and recreation</w:t>
      </w:r>
      <w:r>
        <w:rPr>
          <w:lang w:val="en-CA" w:eastAsia="ja-JP"/>
        </w:rPr>
        <w:t xml:space="preserve"> capital project listing:</w:t>
      </w:r>
    </w:p>
    <w:p w:rsidR="007104F3" w:rsidP="00BB372D" w:rsidRDefault="007104F3" w14:paraId="472EE0CD" w14:textId="3127EF5D">
      <w:pPr>
        <w:pStyle w:val="BodyText125"/>
        <w:rPr>
          <w:lang w:val="en-CA" w:eastAsia="ja-JP"/>
        </w:rPr>
        <w:sectPr w:rsidR="007104F3" w:rsidSect="009A60F6">
          <w:headerReference w:type="default" r:id="rId42"/>
          <w:footerReference w:type="default" r:id="rId43"/>
          <w:footerReference w:type="first" r:id="rId44"/>
          <w:footnotePr>
            <w:numRestart w:val="eachPage"/>
          </w:footnotePr>
          <w:pgSz w:w="12240" w:h="15840" w:orient="portrait" w:code="1"/>
          <w:pgMar w:top="1440" w:right="1440" w:bottom="1440" w:left="1440" w:header="432" w:footer="619" w:gutter="0"/>
          <w:cols w:space="708"/>
          <w:titlePg/>
          <w:docGrid w:linePitch="360"/>
        </w:sectPr>
      </w:pPr>
    </w:p>
    <w:p w:rsidR="007104F3" w:rsidP="007104F3" w:rsidRDefault="007104F3" w14:paraId="61F71615" w14:textId="5ED627CC">
      <w:pPr>
        <w:pStyle w:val="FigureTableTitles"/>
        <w:rPr>
          <w:lang w:val="en-CA" w:eastAsia="ja-JP"/>
        </w:rPr>
      </w:pPr>
      <w:r>
        <w:rPr>
          <w:lang w:val="en-CA" w:eastAsia="ja-JP"/>
        </w:rPr>
        <w:t xml:space="preserve">Table </w:t>
      </w:r>
      <w:r w:rsidR="00352376">
        <w:rPr>
          <w:lang w:val="en-CA" w:eastAsia="ja-JP"/>
        </w:rPr>
        <w:t>4</w:t>
      </w:r>
      <w:r w:rsidR="006A690E">
        <w:rPr>
          <w:lang w:val="en-CA" w:eastAsia="ja-JP"/>
        </w:rPr>
        <w:t>-1</w:t>
      </w:r>
    </w:p>
    <w:p w:rsidR="007104F3" w:rsidP="007104F3" w:rsidRDefault="005B11E1" w14:paraId="13C37337" w14:textId="4A444638">
      <w:pPr>
        <w:pStyle w:val="FigureTableTitles"/>
        <w:rPr>
          <w:lang w:val="en-CA" w:eastAsia="ja-JP"/>
        </w:rPr>
      </w:pPr>
      <w:r>
        <w:rPr>
          <w:lang w:val="en-CA" w:eastAsia="ja-JP"/>
        </w:rPr>
        <w:t>City</w:t>
      </w:r>
      <w:r w:rsidR="007104F3">
        <w:rPr>
          <w:lang w:val="en-CA" w:eastAsia="ja-JP"/>
        </w:rPr>
        <w:t xml:space="preserve"> of </w:t>
      </w:r>
      <w:r>
        <w:rPr>
          <w:lang w:val="en-CA" w:eastAsia="ja-JP"/>
        </w:rPr>
        <w:t>Cambridge</w:t>
      </w:r>
    </w:p>
    <w:p w:rsidR="007104F3" w:rsidP="007104F3" w:rsidRDefault="006A690E" w14:paraId="7B60471F" w14:textId="26F30142">
      <w:pPr>
        <w:pStyle w:val="FigureTableTitles"/>
        <w:rPr>
          <w:lang w:val="en-CA" w:eastAsia="ja-JP"/>
        </w:rPr>
      </w:pPr>
      <w:r>
        <w:rPr>
          <w:lang w:val="en-CA" w:eastAsia="ja-JP"/>
        </w:rPr>
        <w:t>Parks and Recreation</w:t>
      </w:r>
      <w:r w:rsidR="007104F3">
        <w:rPr>
          <w:lang w:val="en-CA" w:eastAsia="ja-JP"/>
        </w:rPr>
        <w:t xml:space="preserve"> Services Capital Costs – Updated</w:t>
      </w:r>
    </w:p>
    <w:p w:rsidR="007104F3" w:rsidP="004244CF" w:rsidRDefault="00C229FA" w14:paraId="0ECBD820" w14:textId="56D02BF3">
      <w:pPr>
        <w:pStyle w:val="BodyText125"/>
        <w:rPr>
          <w:lang w:val="en-CA" w:eastAsia="ja-JP"/>
        </w:rPr>
      </w:pPr>
      <w:r w:rsidRPr="00C229FA">
        <w:rPr>
          <w:noProof/>
        </w:rPr>
        <w:drawing>
          <wp:inline distT="0" distB="0" distL="0" distR="0" wp14:anchorId="373128D2" wp14:editId="060D43C8">
            <wp:extent cx="8229600" cy="4311650"/>
            <wp:effectExtent l="0" t="0" r="0" b="0"/>
            <wp:docPr id="1345254220" name="Picture 5" descr="Parks and Recreation Services Capital Costs –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54220" name="Picture 5" descr="Parks and Recreation Services Capital Costs – Upd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4311650"/>
                    </a:xfrm>
                    <a:prstGeom prst="rect">
                      <a:avLst/>
                    </a:prstGeom>
                    <a:noFill/>
                    <a:ln>
                      <a:noFill/>
                    </a:ln>
                  </pic:spPr>
                </pic:pic>
              </a:graphicData>
            </a:graphic>
          </wp:inline>
        </w:drawing>
      </w:r>
    </w:p>
    <w:p w:rsidR="004244CF" w:rsidP="004244CF" w:rsidRDefault="004244CF" w14:paraId="6C0F596F" w14:textId="31030784">
      <w:pPr>
        <w:pStyle w:val="FigureTableTitles"/>
        <w:rPr>
          <w:lang w:val="en-CA" w:eastAsia="ja-JP"/>
        </w:rPr>
      </w:pPr>
      <w:r>
        <w:rPr>
          <w:lang w:val="en-CA" w:eastAsia="ja-JP"/>
        </w:rPr>
        <w:t>Table</w:t>
      </w:r>
      <w:r w:rsidR="00352376">
        <w:rPr>
          <w:lang w:val="en-CA" w:eastAsia="ja-JP"/>
        </w:rPr>
        <w:t xml:space="preserve"> 4</w:t>
      </w:r>
      <w:r>
        <w:rPr>
          <w:lang w:val="en-CA" w:eastAsia="ja-JP"/>
        </w:rPr>
        <w:t>-1 (Cont’d)</w:t>
      </w:r>
    </w:p>
    <w:p w:rsidR="004244CF" w:rsidP="004244CF" w:rsidRDefault="004244CF" w14:paraId="23E6DF67" w14:textId="77777777">
      <w:pPr>
        <w:pStyle w:val="FigureTableTitles"/>
        <w:rPr>
          <w:lang w:val="en-CA" w:eastAsia="ja-JP"/>
        </w:rPr>
      </w:pPr>
      <w:r>
        <w:rPr>
          <w:lang w:val="en-CA" w:eastAsia="ja-JP"/>
        </w:rPr>
        <w:t>City of Cambridge</w:t>
      </w:r>
    </w:p>
    <w:p w:rsidR="004244CF" w:rsidP="004244CF" w:rsidRDefault="004244CF" w14:paraId="6B15316E" w14:textId="77777777">
      <w:pPr>
        <w:pStyle w:val="FigureTableTitles"/>
        <w:rPr>
          <w:lang w:val="en-CA" w:eastAsia="ja-JP"/>
        </w:rPr>
      </w:pPr>
      <w:r>
        <w:rPr>
          <w:lang w:val="en-CA" w:eastAsia="ja-JP"/>
        </w:rPr>
        <w:t>Parks and Recreation Services Capital Costs – Updated</w:t>
      </w:r>
    </w:p>
    <w:p w:rsidR="004244CF" w:rsidP="004244CF" w:rsidRDefault="0062409D" w14:paraId="4C840057" w14:textId="45EDFA71">
      <w:pPr>
        <w:pStyle w:val="BodyText125"/>
        <w:rPr>
          <w:lang w:val="en-CA" w:eastAsia="ja-JP"/>
        </w:rPr>
      </w:pPr>
      <w:r w:rsidRPr="0062409D">
        <w:rPr>
          <w:noProof/>
        </w:rPr>
        <w:drawing>
          <wp:inline distT="0" distB="0" distL="0" distR="0" wp14:anchorId="1964EEB0" wp14:editId="1F45F4A8">
            <wp:extent cx="8229600" cy="4208780"/>
            <wp:effectExtent l="0" t="0" r="0" b="1270"/>
            <wp:docPr id="1639239769" name="Picture 6" descr="Parks and Recreation Services Capital Costs –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39769" name="Picture 6" descr="Parks and Recreation Services Capital Costs – Upd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29600" cy="4208780"/>
                    </a:xfrm>
                    <a:prstGeom prst="rect">
                      <a:avLst/>
                    </a:prstGeom>
                    <a:noFill/>
                    <a:ln>
                      <a:noFill/>
                    </a:ln>
                  </pic:spPr>
                </pic:pic>
              </a:graphicData>
            </a:graphic>
          </wp:inline>
        </w:drawing>
      </w:r>
    </w:p>
    <w:p w:rsidR="004244CF" w:rsidP="004244CF" w:rsidRDefault="004244CF" w14:paraId="7F0DE7A3" w14:textId="4E93011C">
      <w:pPr>
        <w:pStyle w:val="FigureTableTitles"/>
        <w:rPr>
          <w:lang w:val="en-CA" w:eastAsia="ja-JP"/>
        </w:rPr>
      </w:pPr>
      <w:r>
        <w:rPr>
          <w:lang w:val="en-CA" w:eastAsia="ja-JP"/>
        </w:rPr>
        <w:t xml:space="preserve">Table </w:t>
      </w:r>
      <w:r w:rsidR="00352376">
        <w:rPr>
          <w:lang w:val="en-CA" w:eastAsia="ja-JP"/>
        </w:rPr>
        <w:t>4</w:t>
      </w:r>
      <w:r>
        <w:rPr>
          <w:lang w:val="en-CA" w:eastAsia="ja-JP"/>
        </w:rPr>
        <w:t>-1 (Cont’d)</w:t>
      </w:r>
    </w:p>
    <w:p w:rsidR="004244CF" w:rsidP="004244CF" w:rsidRDefault="004244CF" w14:paraId="537C56D8" w14:textId="77777777">
      <w:pPr>
        <w:pStyle w:val="FigureTableTitles"/>
        <w:rPr>
          <w:lang w:val="en-CA" w:eastAsia="ja-JP"/>
        </w:rPr>
      </w:pPr>
      <w:r>
        <w:rPr>
          <w:lang w:val="en-CA" w:eastAsia="ja-JP"/>
        </w:rPr>
        <w:t>City of Cambridge</w:t>
      </w:r>
    </w:p>
    <w:p w:rsidR="004244CF" w:rsidP="004244CF" w:rsidRDefault="004244CF" w14:paraId="641C7568" w14:textId="77777777">
      <w:pPr>
        <w:pStyle w:val="FigureTableTitles"/>
        <w:rPr>
          <w:lang w:val="en-CA" w:eastAsia="ja-JP"/>
        </w:rPr>
      </w:pPr>
      <w:r>
        <w:rPr>
          <w:lang w:val="en-CA" w:eastAsia="ja-JP"/>
        </w:rPr>
        <w:t>Parks and Recreation Services Capital Costs – Updated</w:t>
      </w:r>
    </w:p>
    <w:p w:rsidRPr="004244CF" w:rsidR="004244CF" w:rsidP="004244CF" w:rsidRDefault="00614941" w14:paraId="32D107ED" w14:textId="60D2F0AA">
      <w:pPr>
        <w:pStyle w:val="BodyText125"/>
        <w:rPr>
          <w:lang w:val="en-CA" w:eastAsia="ja-JP"/>
        </w:rPr>
      </w:pPr>
      <w:r w:rsidRPr="00614941">
        <w:rPr>
          <w:noProof/>
        </w:rPr>
        <w:drawing>
          <wp:inline distT="0" distB="0" distL="0" distR="0" wp14:anchorId="06E77E36" wp14:editId="66194C42">
            <wp:extent cx="8229600" cy="2298700"/>
            <wp:effectExtent l="0" t="0" r="0" b="6350"/>
            <wp:docPr id="1264816851" name="Picture 7" descr="Parks and Recreation Services Capital Costs –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16851" name="Picture 7" descr="Parks and Recreation Services Capital Costs – Upd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2298700"/>
                    </a:xfrm>
                    <a:prstGeom prst="rect">
                      <a:avLst/>
                    </a:prstGeom>
                    <a:noFill/>
                    <a:ln>
                      <a:noFill/>
                    </a:ln>
                  </pic:spPr>
                </pic:pic>
              </a:graphicData>
            </a:graphic>
          </wp:inline>
        </w:drawing>
      </w:r>
    </w:p>
    <w:p w:rsidR="004244CF" w:rsidP="007104F3" w:rsidRDefault="004244CF" w14:paraId="00C292A2" w14:textId="77777777">
      <w:pPr>
        <w:pStyle w:val="FigureTableTitles"/>
        <w:rPr>
          <w:lang w:val="en-CA" w:eastAsia="ja-JP"/>
        </w:rPr>
        <w:sectPr w:rsidR="004244CF" w:rsidSect="007104F3">
          <w:footnotePr>
            <w:numRestart w:val="eachPage"/>
          </w:footnotePr>
          <w:pgSz w:w="15840" w:h="12240" w:orient="landscape" w:code="1"/>
          <w:pgMar w:top="1440" w:right="1440" w:bottom="1440" w:left="1440" w:header="432" w:footer="619" w:gutter="0"/>
          <w:cols w:space="708"/>
          <w:titlePg/>
          <w:docGrid w:linePitch="360"/>
        </w:sectPr>
      </w:pPr>
    </w:p>
    <w:p w:rsidR="00652FE4" w:rsidP="00652FE4" w:rsidRDefault="00652FE4" w14:paraId="14AF0929" w14:textId="27DE94FC">
      <w:pPr>
        <w:pStyle w:val="Heading2"/>
        <w:rPr>
          <w:lang w:val="en-CA"/>
        </w:rPr>
      </w:pPr>
      <w:bookmarkStart w:name="_Toc213674179" w:id="24"/>
      <w:r>
        <w:rPr>
          <w:lang w:val="en-CA"/>
        </w:rPr>
        <w:t>D.C. By-law Revised Schedule of Charges</w:t>
      </w:r>
      <w:bookmarkEnd w:id="24"/>
    </w:p>
    <w:p w:rsidR="00652FE4" w:rsidP="00652FE4" w:rsidRDefault="00652FE4" w14:paraId="410C38E5" w14:textId="3800EFE1">
      <w:pPr>
        <w:pStyle w:val="Heading3"/>
        <w:rPr>
          <w:lang w:val="en-CA"/>
        </w:rPr>
      </w:pPr>
      <w:bookmarkStart w:name="_Toc213674180" w:id="25"/>
      <w:r>
        <w:rPr>
          <w:lang w:val="en-CA"/>
        </w:rPr>
        <w:t>Updated D.C. Calculation (2023$)</w:t>
      </w:r>
      <w:bookmarkEnd w:id="25"/>
    </w:p>
    <w:p w:rsidR="00652FE4" w:rsidP="00652FE4" w:rsidRDefault="007104F3" w14:paraId="5B2D5CB1" w14:textId="1FB14BA2">
      <w:pPr>
        <w:pStyle w:val="BodyText125"/>
        <w:rPr>
          <w:lang w:val="en-CA" w:eastAsia="ja-JP"/>
        </w:rPr>
      </w:pPr>
      <w:r>
        <w:rPr>
          <w:lang w:val="en-CA" w:eastAsia="ja-JP"/>
        </w:rPr>
        <w:t xml:space="preserve">The following tables provide the updated D.C. calculations based on the revised capital needs discussed in Section </w:t>
      </w:r>
      <w:r w:rsidR="00352376">
        <w:rPr>
          <w:lang w:val="en-CA" w:eastAsia="ja-JP"/>
        </w:rPr>
        <w:t>4</w:t>
      </w:r>
      <w:r>
        <w:rPr>
          <w:lang w:val="en-CA" w:eastAsia="ja-JP"/>
        </w:rPr>
        <w:t xml:space="preserve">.1.  </w:t>
      </w:r>
    </w:p>
    <w:p w:rsidRPr="009C252A" w:rsidR="007104F3" w:rsidP="007104F3" w:rsidRDefault="007104F3" w14:paraId="275DE2E7" w14:textId="207EB2FB">
      <w:pPr>
        <w:pStyle w:val="BodyText125"/>
        <w:rPr>
          <w:lang w:val="en-CA" w:eastAsia="ja-JP"/>
        </w:rPr>
      </w:pPr>
      <w:r w:rsidRPr="004D44E8">
        <w:rPr>
          <w:lang w:val="en-CA" w:eastAsia="ja-JP"/>
        </w:rPr>
        <w:t xml:space="preserve">For the residential calculations, the total cost is divided by the “gross” (new resident) population to determine the per capita amount.  The eligible D.C. cost calculations set out in </w:t>
      </w:r>
      <w:r w:rsidRPr="004D44E8" w:rsidR="004D44E8">
        <w:rPr>
          <w:lang w:val="en-CA" w:eastAsia="ja-JP"/>
        </w:rPr>
        <w:t>S</w:t>
      </w:r>
      <w:r w:rsidRPr="004D44E8">
        <w:rPr>
          <w:lang w:val="en-CA" w:eastAsia="ja-JP"/>
        </w:rPr>
        <w:t xml:space="preserve">ection </w:t>
      </w:r>
      <w:r w:rsidR="00352376">
        <w:rPr>
          <w:lang w:val="en-CA" w:eastAsia="ja-JP"/>
        </w:rPr>
        <w:t>4</w:t>
      </w:r>
      <w:r w:rsidRPr="004D44E8">
        <w:rPr>
          <w:lang w:val="en-CA" w:eastAsia="ja-JP"/>
        </w:rPr>
        <w:t xml:space="preserve">.1 are based on the net anticipated population increase (the forecast new unit population less the anticipated decline in existing units).  The cost per capita </w:t>
      </w:r>
      <w:r w:rsidRPr="004D44E8" w:rsidR="00111780">
        <w:rPr>
          <w:lang w:val="en-CA" w:eastAsia="ja-JP"/>
        </w:rPr>
        <w:t xml:space="preserve">calculated in Table </w:t>
      </w:r>
      <w:r w:rsidR="00352376">
        <w:rPr>
          <w:lang w:val="en-CA" w:eastAsia="ja-JP"/>
        </w:rPr>
        <w:t>4</w:t>
      </w:r>
      <w:r w:rsidRPr="004D44E8" w:rsidR="00DD0293">
        <w:rPr>
          <w:lang w:val="en-CA" w:eastAsia="ja-JP"/>
        </w:rPr>
        <w:t xml:space="preserve">-2 </w:t>
      </w:r>
      <w:r w:rsidRPr="004D44E8" w:rsidR="00111780">
        <w:rPr>
          <w:lang w:val="en-CA" w:eastAsia="ja-JP"/>
        </w:rPr>
        <w:t>is</w:t>
      </w:r>
      <w:r w:rsidRPr="004D44E8">
        <w:rPr>
          <w:lang w:val="en-CA" w:eastAsia="ja-JP"/>
        </w:rPr>
        <w:t xml:space="preserve"> then multiplied by the average occupancy of the new units (Appendix A, Schedule </w:t>
      </w:r>
      <w:r w:rsidRPr="004D44E8" w:rsidR="004D44E8">
        <w:rPr>
          <w:lang w:val="en-CA" w:eastAsia="ja-JP"/>
        </w:rPr>
        <w:t>4</w:t>
      </w:r>
      <w:r w:rsidRPr="004D44E8">
        <w:rPr>
          <w:lang w:val="en-CA" w:eastAsia="ja-JP"/>
        </w:rPr>
        <w:t xml:space="preserve"> to the 2023 D.C. background study) to calculate the charge in Table </w:t>
      </w:r>
      <w:r w:rsidR="00352376">
        <w:rPr>
          <w:lang w:val="en-CA" w:eastAsia="ja-JP"/>
        </w:rPr>
        <w:t>4</w:t>
      </w:r>
      <w:r w:rsidRPr="004D44E8" w:rsidR="004D44E8">
        <w:rPr>
          <w:lang w:val="en-CA" w:eastAsia="ja-JP"/>
        </w:rPr>
        <w:t>-3</w:t>
      </w:r>
      <w:r w:rsidRPr="004D44E8" w:rsidR="00111780">
        <w:rPr>
          <w:lang w:val="en-CA" w:eastAsia="ja-JP"/>
        </w:rPr>
        <w:t>.</w:t>
      </w:r>
    </w:p>
    <w:p w:rsidR="007104F3" w:rsidP="007104F3" w:rsidRDefault="007104F3" w14:paraId="57D67655" w14:textId="77777777">
      <w:pPr>
        <w:pStyle w:val="BodyText125"/>
        <w:rPr>
          <w:lang w:val="en-CA" w:eastAsia="ja-JP"/>
        </w:rPr>
      </w:pPr>
      <w:r w:rsidRPr="009C252A">
        <w:rPr>
          <w:lang w:val="en-CA" w:eastAsia="ja-JP"/>
        </w:rPr>
        <w:t xml:space="preserve">With respect to non-residential development, the total costs in the uniform charge allocated to non-residential development (based on need for service) have been divided by the anticipated development over the planning period to calculate a cost per </w:t>
      </w:r>
      <w:proofErr w:type="spellStart"/>
      <w:r w:rsidRPr="009C252A">
        <w:rPr>
          <w:lang w:val="en-CA" w:eastAsia="ja-JP"/>
        </w:rPr>
        <w:t>sq.ft</w:t>
      </w:r>
      <w:proofErr w:type="spellEnd"/>
      <w:r w:rsidRPr="009C252A">
        <w:rPr>
          <w:lang w:val="en-CA" w:eastAsia="ja-JP"/>
        </w:rPr>
        <w:t>. of gross floor area.</w:t>
      </w:r>
    </w:p>
    <w:p w:rsidR="00210EC6" w:rsidP="007104F3" w:rsidRDefault="00210EC6" w14:paraId="4E149C6B" w14:textId="70718555">
      <w:pPr>
        <w:pStyle w:val="BodyText125"/>
        <w:rPr>
          <w:lang w:val="en-CA" w:eastAsia="ja-JP"/>
        </w:rPr>
      </w:pPr>
      <w:r>
        <w:rPr>
          <w:lang w:val="en-CA" w:eastAsia="ja-JP"/>
        </w:rPr>
        <w:t xml:space="preserve">The D.C. calculation for </w:t>
      </w:r>
      <w:r w:rsidR="00B276D9">
        <w:rPr>
          <w:lang w:val="en-CA" w:eastAsia="ja-JP"/>
        </w:rPr>
        <w:t>parks and recreation services is</w:t>
      </w:r>
      <w:r>
        <w:rPr>
          <w:lang w:val="en-CA" w:eastAsia="ja-JP"/>
        </w:rPr>
        <w:t xml:space="preserve"> provided in the following tables:</w:t>
      </w:r>
    </w:p>
    <w:p w:rsidR="00111780" w:rsidP="00111780" w:rsidRDefault="00111780" w14:paraId="639D3B54" w14:textId="6B3B2190">
      <w:pPr>
        <w:pStyle w:val="FigureTableTitles"/>
        <w:rPr>
          <w:lang w:val="en-CA" w:eastAsia="ja-JP"/>
        </w:rPr>
      </w:pPr>
      <w:r>
        <w:rPr>
          <w:lang w:val="en-CA" w:eastAsia="ja-JP"/>
        </w:rPr>
        <w:t xml:space="preserve">Table </w:t>
      </w:r>
      <w:r w:rsidR="00352376">
        <w:rPr>
          <w:lang w:val="en-CA" w:eastAsia="ja-JP"/>
        </w:rPr>
        <w:t>4</w:t>
      </w:r>
      <w:r w:rsidR="00DD0293">
        <w:rPr>
          <w:lang w:val="en-CA" w:eastAsia="ja-JP"/>
        </w:rPr>
        <w:t>-2</w:t>
      </w:r>
    </w:p>
    <w:p w:rsidR="00111780" w:rsidP="00111780" w:rsidRDefault="005B11E1" w14:paraId="686C5442" w14:textId="08A78B81">
      <w:pPr>
        <w:pStyle w:val="FigureTableTitles"/>
        <w:rPr>
          <w:lang w:val="en-CA" w:eastAsia="ja-JP"/>
        </w:rPr>
      </w:pPr>
      <w:r>
        <w:rPr>
          <w:lang w:val="en-CA" w:eastAsia="ja-JP"/>
        </w:rPr>
        <w:t>City</w:t>
      </w:r>
      <w:r w:rsidR="00111780">
        <w:rPr>
          <w:lang w:val="en-CA" w:eastAsia="ja-JP"/>
        </w:rPr>
        <w:t xml:space="preserve"> of </w:t>
      </w:r>
      <w:r>
        <w:rPr>
          <w:lang w:val="en-CA" w:eastAsia="ja-JP"/>
        </w:rPr>
        <w:t>Cambridge</w:t>
      </w:r>
    </w:p>
    <w:p w:rsidR="00111780" w:rsidP="00111780" w:rsidRDefault="00DD0293" w14:paraId="4753C490" w14:textId="71C9E75E">
      <w:pPr>
        <w:pStyle w:val="FigureTableTitles"/>
        <w:rPr>
          <w:lang w:val="en-CA" w:eastAsia="ja-JP"/>
        </w:rPr>
      </w:pPr>
      <w:r>
        <w:rPr>
          <w:lang w:val="en-CA" w:eastAsia="ja-JP"/>
        </w:rPr>
        <w:t>Parks and Recreation Services</w:t>
      </w:r>
      <w:r w:rsidR="00111780">
        <w:rPr>
          <w:lang w:val="en-CA" w:eastAsia="ja-JP"/>
        </w:rPr>
        <w:t xml:space="preserve"> D.C. Calculation</w:t>
      </w:r>
    </w:p>
    <w:p w:rsidR="00B276D9" w:rsidP="00B276D9" w:rsidRDefault="00AB6749" w14:paraId="5F087FAD" w14:textId="3A3F3595">
      <w:pPr>
        <w:pStyle w:val="BodyText125"/>
        <w:jc w:val="center"/>
        <w:rPr>
          <w:lang w:val="en-CA" w:eastAsia="ja-JP"/>
        </w:rPr>
      </w:pPr>
      <w:r w:rsidRPr="00AB6749">
        <w:rPr>
          <w:noProof/>
        </w:rPr>
        <w:drawing>
          <wp:inline distT="0" distB="0" distL="0" distR="0" wp14:anchorId="6CE1FC06" wp14:editId="157E83DC">
            <wp:extent cx="5425109" cy="1190625"/>
            <wp:effectExtent l="0" t="0" r="4445" b="0"/>
            <wp:docPr id="1594276272" name="Picture 8" descr="Parks and Recreation Services D.C.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76272" name="Picture 8" descr="Parks and Recreation Services D.C. Calcul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7589" cy="1191169"/>
                    </a:xfrm>
                    <a:prstGeom prst="rect">
                      <a:avLst/>
                    </a:prstGeom>
                    <a:noFill/>
                    <a:ln>
                      <a:noFill/>
                    </a:ln>
                  </pic:spPr>
                </pic:pic>
              </a:graphicData>
            </a:graphic>
          </wp:inline>
        </w:drawing>
      </w:r>
    </w:p>
    <w:p w:rsidR="00111780" w:rsidP="00111780" w:rsidRDefault="00210EC6" w14:paraId="77E97F9F" w14:textId="05C6EC3C">
      <w:pPr>
        <w:pStyle w:val="FigureTableTitles"/>
        <w:rPr>
          <w:lang w:val="en-CA" w:eastAsia="ja-JP"/>
        </w:rPr>
      </w:pPr>
      <w:r>
        <w:rPr>
          <w:lang w:val="en-CA" w:eastAsia="ja-JP"/>
        </w:rPr>
        <w:t xml:space="preserve">Table </w:t>
      </w:r>
      <w:r w:rsidR="00CE575E">
        <w:rPr>
          <w:lang w:val="en-CA" w:eastAsia="ja-JP"/>
        </w:rPr>
        <w:t>4</w:t>
      </w:r>
      <w:r w:rsidR="00D56A16">
        <w:rPr>
          <w:lang w:val="en-CA" w:eastAsia="ja-JP"/>
        </w:rPr>
        <w:t>-3</w:t>
      </w:r>
    </w:p>
    <w:p w:rsidR="00210EC6" w:rsidP="00111780" w:rsidRDefault="005B11E1" w14:paraId="5B64C68E" w14:textId="6696E31D">
      <w:pPr>
        <w:pStyle w:val="FigureTableTitles"/>
        <w:rPr>
          <w:lang w:val="en-CA" w:eastAsia="ja-JP"/>
        </w:rPr>
      </w:pPr>
      <w:r>
        <w:rPr>
          <w:lang w:val="en-CA" w:eastAsia="ja-JP"/>
        </w:rPr>
        <w:t>City</w:t>
      </w:r>
      <w:r w:rsidR="00210EC6">
        <w:rPr>
          <w:lang w:val="en-CA" w:eastAsia="ja-JP"/>
        </w:rPr>
        <w:t xml:space="preserve"> of </w:t>
      </w:r>
      <w:r>
        <w:rPr>
          <w:lang w:val="en-CA" w:eastAsia="ja-JP"/>
        </w:rPr>
        <w:t>Cambridge</w:t>
      </w:r>
    </w:p>
    <w:p w:rsidR="00210EC6" w:rsidP="00111780" w:rsidRDefault="00B276D9" w14:paraId="615613C5" w14:textId="6C591AA7">
      <w:pPr>
        <w:pStyle w:val="FigureTableTitles"/>
        <w:rPr>
          <w:lang w:val="en-CA" w:eastAsia="ja-JP"/>
        </w:rPr>
      </w:pPr>
      <w:r>
        <w:rPr>
          <w:lang w:val="en-CA" w:eastAsia="ja-JP"/>
        </w:rPr>
        <w:t>Parks and Recreation Services</w:t>
      </w:r>
      <w:r w:rsidR="00210EC6">
        <w:rPr>
          <w:lang w:val="en-CA" w:eastAsia="ja-JP"/>
        </w:rPr>
        <w:t xml:space="preserve"> D.C. Calculation – by Residential Unit Type (2023$)</w:t>
      </w:r>
    </w:p>
    <w:p w:rsidRPr="009C252A" w:rsidR="00210EC6" w:rsidP="00B276D9" w:rsidRDefault="0034508B" w14:paraId="2D641967" w14:textId="48F7E391">
      <w:pPr>
        <w:pStyle w:val="BodyText125"/>
        <w:jc w:val="center"/>
        <w:rPr>
          <w:lang w:val="en-CA" w:eastAsia="ja-JP"/>
        </w:rPr>
      </w:pPr>
      <w:r w:rsidRPr="0034508B">
        <w:rPr>
          <w:lang w:val="en-CA" w:eastAsia="ja-JP"/>
        </w:rPr>
        <w:t xml:space="preserve"> </w:t>
      </w:r>
      <w:r w:rsidRPr="00EB46FA" w:rsidR="00EB46FA">
        <w:rPr>
          <w:noProof/>
        </w:rPr>
        <w:drawing>
          <wp:inline distT="0" distB="0" distL="0" distR="0" wp14:anchorId="06E5AF00" wp14:editId="255AFADB">
            <wp:extent cx="4779010" cy="1604645"/>
            <wp:effectExtent l="0" t="0" r="2540" b="0"/>
            <wp:docPr id="1432268298" name="Picture 5" descr="Parks and Recreation Services D.C. Calculation – by Residential Unit Typ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68298" name="Picture 5" descr="Parks and Recreation Services D.C. Calculation – by Residential Unit Type (20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9010" cy="1604645"/>
                    </a:xfrm>
                    <a:prstGeom prst="rect">
                      <a:avLst/>
                    </a:prstGeom>
                    <a:noFill/>
                    <a:ln>
                      <a:noFill/>
                    </a:ln>
                  </pic:spPr>
                </pic:pic>
              </a:graphicData>
            </a:graphic>
          </wp:inline>
        </w:drawing>
      </w:r>
    </w:p>
    <w:p w:rsidRPr="00652FE4" w:rsidR="00652FE4" w:rsidP="00652FE4" w:rsidRDefault="00652FE4" w14:paraId="588CF17B" w14:textId="149F9D49">
      <w:pPr>
        <w:pStyle w:val="Heading3"/>
        <w:rPr>
          <w:lang w:val="en-CA"/>
        </w:rPr>
      </w:pPr>
      <w:bookmarkStart w:name="_Toc213674181" w:id="26"/>
      <w:r>
        <w:rPr>
          <w:lang w:val="en-CA"/>
        </w:rPr>
        <w:t>Revised D.C. Rates (2023$ and 202</w:t>
      </w:r>
      <w:r w:rsidR="00B276D9">
        <w:rPr>
          <w:lang w:val="en-CA"/>
        </w:rPr>
        <w:t>5</w:t>
      </w:r>
      <w:r>
        <w:rPr>
          <w:lang w:val="en-CA"/>
        </w:rPr>
        <w:t>$)</w:t>
      </w:r>
      <w:bookmarkEnd w:id="26"/>
    </w:p>
    <w:p w:rsidR="000A0CE8" w:rsidP="000A0CE8" w:rsidRDefault="00210EC6" w14:paraId="70CD0217" w14:textId="30C7FCC8">
      <w:pPr>
        <w:pStyle w:val="BodyText125"/>
        <w:rPr>
          <w:lang w:val="en-CA"/>
        </w:rPr>
      </w:pPr>
      <w:r>
        <w:rPr>
          <w:lang w:val="en-CA"/>
        </w:rPr>
        <w:t>Based on the changes noted above, the D.C. calculations have been revised to</w:t>
      </w:r>
      <w:r w:rsidR="00B276D9">
        <w:rPr>
          <w:lang w:val="en-CA"/>
        </w:rPr>
        <w:t xml:space="preserve"> </w:t>
      </w:r>
      <w:r>
        <w:rPr>
          <w:lang w:val="en-CA"/>
        </w:rPr>
        <w:t xml:space="preserve">update the charge for </w:t>
      </w:r>
      <w:r w:rsidR="00B276D9">
        <w:rPr>
          <w:lang w:val="en-CA"/>
        </w:rPr>
        <w:t>parks and recreation</w:t>
      </w:r>
      <w:r>
        <w:rPr>
          <w:lang w:val="en-CA"/>
        </w:rPr>
        <w:t xml:space="preserve"> services.  As a result, the total calculated </w:t>
      </w:r>
      <w:r w:rsidR="00871A57">
        <w:rPr>
          <w:lang w:val="en-CA"/>
        </w:rPr>
        <w:t>Urban</w:t>
      </w:r>
      <w:r>
        <w:rPr>
          <w:lang w:val="en-CA"/>
        </w:rPr>
        <w:t xml:space="preserve">-wide D.C. (single/semi-detached unit), </w:t>
      </w:r>
      <w:r w:rsidR="00871A57">
        <w:rPr>
          <w:lang w:val="en-CA"/>
        </w:rPr>
        <w:t xml:space="preserve">including </w:t>
      </w:r>
      <w:r w:rsidR="00B276D9">
        <w:rPr>
          <w:lang w:val="en-CA"/>
        </w:rPr>
        <w:t xml:space="preserve">stormwater, </w:t>
      </w:r>
      <w:r>
        <w:rPr>
          <w:lang w:val="en-CA"/>
        </w:rPr>
        <w:t>water and wastewater services has increased from $</w:t>
      </w:r>
      <w:r w:rsidR="00B276D9">
        <w:rPr>
          <w:lang w:val="en-CA"/>
        </w:rPr>
        <w:t>3</w:t>
      </w:r>
      <w:r w:rsidR="00C71925">
        <w:rPr>
          <w:lang w:val="en-CA"/>
        </w:rPr>
        <w:t>8,986</w:t>
      </w:r>
      <w:r>
        <w:rPr>
          <w:lang w:val="en-CA"/>
        </w:rPr>
        <w:t xml:space="preserve"> to $</w:t>
      </w:r>
      <w:r w:rsidR="00612E63">
        <w:rPr>
          <w:lang w:val="en-CA"/>
        </w:rPr>
        <w:t>44,492</w:t>
      </w:r>
      <w:r>
        <w:rPr>
          <w:lang w:val="en-CA"/>
        </w:rPr>
        <w:t xml:space="preserve"> (2023</w:t>
      </w:r>
      <w:r w:rsidR="00524273">
        <w:rPr>
          <w:lang w:val="en-CA"/>
        </w:rPr>
        <w:t xml:space="preserve"> </w:t>
      </w:r>
      <w:r>
        <w:rPr>
          <w:lang w:val="en-CA"/>
        </w:rPr>
        <w:t xml:space="preserve">$).  </w:t>
      </w:r>
      <w:r w:rsidR="00FB64D8">
        <w:rPr>
          <w:lang w:val="en-CA"/>
        </w:rPr>
        <w:t>With respect</w:t>
      </w:r>
      <w:r>
        <w:rPr>
          <w:lang w:val="en-CA"/>
        </w:rPr>
        <w:t xml:space="preserve"> to the non-residential charges, the total </w:t>
      </w:r>
      <w:r w:rsidR="00C71925">
        <w:rPr>
          <w:lang w:val="en-CA"/>
        </w:rPr>
        <w:t>Urban-</w:t>
      </w:r>
      <w:r>
        <w:rPr>
          <w:lang w:val="en-CA"/>
        </w:rPr>
        <w:t xml:space="preserve">wide calculated D.C. (per </w:t>
      </w:r>
      <w:proofErr w:type="spellStart"/>
      <w:r>
        <w:rPr>
          <w:lang w:val="en-CA"/>
        </w:rPr>
        <w:t>sq.</w:t>
      </w:r>
      <w:r w:rsidR="00B276D9">
        <w:rPr>
          <w:lang w:val="en-CA"/>
        </w:rPr>
        <w:t>ft</w:t>
      </w:r>
      <w:proofErr w:type="spellEnd"/>
      <w:r w:rsidR="00B276D9">
        <w:rPr>
          <w:lang w:val="en-CA"/>
        </w:rPr>
        <w:t>.</w:t>
      </w:r>
      <w:r>
        <w:rPr>
          <w:lang w:val="en-CA"/>
        </w:rPr>
        <w:t xml:space="preserve">), </w:t>
      </w:r>
      <w:r w:rsidR="00C71925">
        <w:rPr>
          <w:lang w:val="en-CA"/>
        </w:rPr>
        <w:t xml:space="preserve">including </w:t>
      </w:r>
      <w:r w:rsidR="00B276D9">
        <w:rPr>
          <w:lang w:val="en-CA"/>
        </w:rPr>
        <w:t xml:space="preserve">stormwater, </w:t>
      </w:r>
      <w:r>
        <w:rPr>
          <w:lang w:val="en-CA"/>
        </w:rPr>
        <w:t>water and wastewater services, has increased from $</w:t>
      </w:r>
      <w:r w:rsidR="00D93CD1">
        <w:rPr>
          <w:lang w:val="en-CA"/>
        </w:rPr>
        <w:t>8.68</w:t>
      </w:r>
      <w:r>
        <w:rPr>
          <w:lang w:val="en-CA"/>
        </w:rPr>
        <w:t xml:space="preserve"> to $</w:t>
      </w:r>
      <w:r w:rsidDel="005B18C2" w:rsidR="00D93CD1">
        <w:rPr>
          <w:lang w:val="en-CA"/>
        </w:rPr>
        <w:t>8.</w:t>
      </w:r>
      <w:r w:rsidR="005B18C2">
        <w:rPr>
          <w:lang w:val="en-CA"/>
        </w:rPr>
        <w:t>90</w:t>
      </w:r>
      <w:r>
        <w:rPr>
          <w:lang w:val="en-CA"/>
        </w:rPr>
        <w:t xml:space="preserve"> </w:t>
      </w:r>
      <w:r w:rsidR="00524273">
        <w:rPr>
          <w:lang w:val="en-CA"/>
        </w:rPr>
        <w:t xml:space="preserve">(2023 $) </w:t>
      </w:r>
      <w:r>
        <w:rPr>
          <w:lang w:val="en-CA"/>
        </w:rPr>
        <w:t xml:space="preserve">per </w:t>
      </w:r>
      <w:proofErr w:type="spellStart"/>
      <w:r>
        <w:rPr>
          <w:lang w:val="en-CA"/>
        </w:rPr>
        <w:t>sq.</w:t>
      </w:r>
      <w:r w:rsidR="00B276D9">
        <w:rPr>
          <w:lang w:val="en-CA"/>
        </w:rPr>
        <w:t>ft</w:t>
      </w:r>
      <w:proofErr w:type="spellEnd"/>
      <w:r>
        <w:rPr>
          <w:lang w:val="en-CA"/>
        </w:rPr>
        <w:t>.</w:t>
      </w:r>
    </w:p>
    <w:p w:rsidR="001104F4" w:rsidP="000A0CE8" w:rsidRDefault="00210EC6" w14:paraId="2C1F7F2F" w14:textId="72105BEA">
      <w:pPr>
        <w:pStyle w:val="BodyText125"/>
        <w:rPr>
          <w:lang w:val="en-CA"/>
        </w:rPr>
      </w:pPr>
      <w:r>
        <w:rPr>
          <w:lang w:val="en-CA"/>
        </w:rPr>
        <w:t>T</w:t>
      </w:r>
      <w:r w:rsidR="00524273">
        <w:rPr>
          <w:lang w:val="en-CA"/>
        </w:rPr>
        <w:t xml:space="preserve">ables </w:t>
      </w:r>
      <w:r w:rsidR="00CE575E">
        <w:rPr>
          <w:lang w:val="en-CA"/>
        </w:rPr>
        <w:t>4</w:t>
      </w:r>
      <w:r w:rsidR="00524273">
        <w:rPr>
          <w:lang w:val="en-CA"/>
        </w:rPr>
        <w:t xml:space="preserve">-4 and </w:t>
      </w:r>
      <w:r w:rsidR="00CE575E">
        <w:rPr>
          <w:lang w:val="en-CA"/>
        </w:rPr>
        <w:t>4</w:t>
      </w:r>
      <w:r w:rsidR="00524273">
        <w:rPr>
          <w:lang w:val="en-CA"/>
        </w:rPr>
        <w:t xml:space="preserve">-5 </w:t>
      </w:r>
      <w:r>
        <w:rPr>
          <w:lang w:val="en-CA"/>
        </w:rPr>
        <w:t xml:space="preserve">below </w:t>
      </w:r>
      <w:r w:rsidR="00DA3A9F">
        <w:rPr>
          <w:lang w:val="en-CA"/>
        </w:rPr>
        <w:t xml:space="preserve">outline </w:t>
      </w:r>
      <w:r>
        <w:rPr>
          <w:lang w:val="en-CA"/>
        </w:rPr>
        <w:t xml:space="preserve">the charges as calculated </w:t>
      </w:r>
      <w:r w:rsidR="00D56A16">
        <w:rPr>
          <w:lang w:val="en-CA"/>
        </w:rPr>
        <w:t>in</w:t>
      </w:r>
      <w:r>
        <w:rPr>
          <w:lang w:val="en-CA"/>
        </w:rPr>
        <w:t xml:space="preserve"> the 2023 D.C. by-law passage, and the charges as amended</w:t>
      </w:r>
      <w:r w:rsidR="00524273">
        <w:rPr>
          <w:lang w:val="en-CA"/>
        </w:rPr>
        <w:t xml:space="preserve"> for residential and non-residential, respectively</w:t>
      </w:r>
      <w:r>
        <w:rPr>
          <w:lang w:val="en-CA"/>
        </w:rPr>
        <w:t xml:space="preserve">. </w:t>
      </w:r>
    </w:p>
    <w:p w:rsidR="00210EC6" w:rsidP="00210EC6" w:rsidRDefault="00210EC6" w14:paraId="0A6D6026" w14:textId="60FF3F45">
      <w:pPr>
        <w:pStyle w:val="FigureTableTitles"/>
        <w:rPr>
          <w:lang w:val="en-CA"/>
        </w:rPr>
      </w:pPr>
      <w:r>
        <w:rPr>
          <w:lang w:val="en-CA"/>
        </w:rPr>
        <w:t xml:space="preserve">Table </w:t>
      </w:r>
      <w:r w:rsidR="00CE575E">
        <w:rPr>
          <w:lang w:val="en-CA"/>
        </w:rPr>
        <w:t>4</w:t>
      </w:r>
      <w:r w:rsidR="00D56A16">
        <w:rPr>
          <w:lang w:val="en-CA"/>
        </w:rPr>
        <w:t>-4</w:t>
      </w:r>
    </w:p>
    <w:p w:rsidR="00210EC6" w:rsidP="00210EC6" w:rsidRDefault="005B11E1" w14:paraId="3CC3C486" w14:textId="2A9BD22D">
      <w:pPr>
        <w:pStyle w:val="FigureTableTitles"/>
        <w:rPr>
          <w:lang w:val="en-CA"/>
        </w:rPr>
      </w:pPr>
      <w:r>
        <w:rPr>
          <w:lang w:val="en-CA"/>
        </w:rPr>
        <w:t>City</w:t>
      </w:r>
      <w:r w:rsidR="00210EC6">
        <w:rPr>
          <w:lang w:val="en-CA"/>
        </w:rPr>
        <w:t xml:space="preserve"> of </w:t>
      </w:r>
      <w:r>
        <w:rPr>
          <w:lang w:val="en-CA"/>
        </w:rPr>
        <w:t>Cambridge</w:t>
      </w:r>
    </w:p>
    <w:p w:rsidR="00210EC6" w:rsidP="00210EC6" w:rsidRDefault="00210EC6" w14:paraId="230A947B" w14:textId="2D3DD0BE">
      <w:pPr>
        <w:pStyle w:val="FigureTableTitles"/>
        <w:rPr>
          <w:lang w:val="en-CA"/>
        </w:rPr>
      </w:pPr>
      <w:r>
        <w:rPr>
          <w:lang w:val="en-CA"/>
        </w:rPr>
        <w:t>Rate Comparison – Residential (per single detached unit)</w:t>
      </w:r>
    </w:p>
    <w:p w:rsidR="00210EC6" w:rsidP="00D56A16" w:rsidRDefault="00AD616B" w14:paraId="33184642" w14:textId="5BDCF458">
      <w:pPr>
        <w:pStyle w:val="BodyText125"/>
        <w:jc w:val="center"/>
        <w:rPr>
          <w:lang w:val="en-CA"/>
        </w:rPr>
      </w:pPr>
      <w:r w:rsidRPr="00AD616B">
        <w:rPr>
          <w:lang w:val="en-CA"/>
        </w:rPr>
        <w:t xml:space="preserve"> </w:t>
      </w:r>
      <w:r w:rsidRPr="00AD616B">
        <w:rPr>
          <w:noProof/>
        </w:rPr>
        <w:drawing>
          <wp:inline distT="0" distB="0" distL="0" distR="0" wp14:anchorId="15D6D472" wp14:editId="5E7D4577">
            <wp:extent cx="5191125" cy="3810000"/>
            <wp:effectExtent l="0" t="0" r="9525" b="0"/>
            <wp:docPr id="622124227" name="Picture 10" descr="Rate Comparison – Residential (per single detache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24227" name="Picture 10" descr="Rate Comparison – Residential (per single detached un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1125" cy="3810000"/>
                    </a:xfrm>
                    <a:prstGeom prst="rect">
                      <a:avLst/>
                    </a:prstGeom>
                    <a:noFill/>
                    <a:ln>
                      <a:noFill/>
                    </a:ln>
                  </pic:spPr>
                </pic:pic>
              </a:graphicData>
            </a:graphic>
          </wp:inline>
        </w:drawing>
      </w:r>
    </w:p>
    <w:p w:rsidR="00210EC6" w:rsidP="00210EC6" w:rsidRDefault="00210EC6" w14:paraId="6EDA7EFA" w14:textId="2FC870A7">
      <w:pPr>
        <w:pStyle w:val="FigureTableTitles"/>
        <w:rPr>
          <w:lang w:val="en-CA"/>
        </w:rPr>
      </w:pPr>
      <w:r>
        <w:rPr>
          <w:lang w:val="en-CA"/>
        </w:rPr>
        <w:t xml:space="preserve">Table </w:t>
      </w:r>
      <w:r w:rsidR="00CE575E">
        <w:rPr>
          <w:lang w:val="en-CA"/>
        </w:rPr>
        <w:t>4</w:t>
      </w:r>
      <w:r w:rsidR="00D56A16">
        <w:rPr>
          <w:lang w:val="en-CA"/>
        </w:rPr>
        <w:t>-5</w:t>
      </w:r>
    </w:p>
    <w:p w:rsidR="00210EC6" w:rsidP="00210EC6" w:rsidRDefault="005B11E1" w14:paraId="6C7B63EE" w14:textId="03979A78">
      <w:pPr>
        <w:pStyle w:val="FigureTableTitles"/>
        <w:rPr>
          <w:lang w:val="en-CA"/>
        </w:rPr>
      </w:pPr>
      <w:r>
        <w:rPr>
          <w:lang w:val="en-CA"/>
        </w:rPr>
        <w:t>City</w:t>
      </w:r>
      <w:r w:rsidR="00210EC6">
        <w:rPr>
          <w:lang w:val="en-CA"/>
        </w:rPr>
        <w:t xml:space="preserve"> of </w:t>
      </w:r>
      <w:r>
        <w:rPr>
          <w:lang w:val="en-CA"/>
        </w:rPr>
        <w:t>Cambridge</w:t>
      </w:r>
    </w:p>
    <w:p w:rsidRPr="0015322B" w:rsidR="00210EC6" w:rsidP="00210EC6" w:rsidRDefault="00210EC6" w14:paraId="0EFF3A31" w14:textId="7B1F1DB6">
      <w:pPr>
        <w:pStyle w:val="FigureTableTitles"/>
        <w:rPr>
          <w:lang w:val="en-CA" w:eastAsia="ja-JP"/>
        </w:rPr>
      </w:pPr>
      <w:r>
        <w:rPr>
          <w:lang w:val="en-CA"/>
        </w:rPr>
        <w:t xml:space="preserve">Rate Comparison – Non-residential (per </w:t>
      </w:r>
      <w:proofErr w:type="spellStart"/>
      <w:r>
        <w:rPr>
          <w:lang w:val="en-CA"/>
        </w:rPr>
        <w:t>sq.</w:t>
      </w:r>
      <w:r w:rsidR="00D56A16">
        <w:rPr>
          <w:lang w:val="en-CA"/>
        </w:rPr>
        <w:t>ft</w:t>
      </w:r>
      <w:proofErr w:type="spellEnd"/>
      <w:r w:rsidR="00D56A16">
        <w:rPr>
          <w:lang w:val="en-CA"/>
        </w:rPr>
        <w:t>.</w:t>
      </w:r>
      <w:r>
        <w:rPr>
          <w:lang w:val="en-CA"/>
        </w:rPr>
        <w:t>)</w:t>
      </w:r>
    </w:p>
    <w:p w:rsidRPr="00D56A16" w:rsidR="00821EDC" w:rsidP="00D56A16" w:rsidRDefault="00F40296" w14:paraId="4F3FF0CD" w14:textId="07580CE9">
      <w:pPr>
        <w:pStyle w:val="BodyText125"/>
        <w:jc w:val="center"/>
        <w:rPr>
          <w:lang w:val="en-CA"/>
        </w:rPr>
      </w:pPr>
      <w:r w:rsidRPr="00F40296">
        <w:rPr>
          <w:lang w:val="en-CA"/>
        </w:rPr>
        <w:t xml:space="preserve"> </w:t>
      </w:r>
      <w:r w:rsidRPr="00F40296">
        <w:rPr>
          <w:noProof/>
        </w:rPr>
        <w:drawing>
          <wp:inline distT="0" distB="0" distL="0" distR="0" wp14:anchorId="75869349" wp14:editId="365F4CAC">
            <wp:extent cx="5172075" cy="3810000"/>
            <wp:effectExtent l="0" t="0" r="9525" b="0"/>
            <wp:docPr id="1662307779" name="Picture 11" descr="Rate Comparison – Non-residential (per sq.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07779" name="Picture 11" descr="Rate Comparison – Non-residential (per sq.f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2075" cy="3810000"/>
                    </a:xfrm>
                    <a:prstGeom prst="rect">
                      <a:avLst/>
                    </a:prstGeom>
                    <a:noFill/>
                    <a:ln>
                      <a:noFill/>
                    </a:ln>
                  </pic:spPr>
                </pic:pic>
              </a:graphicData>
            </a:graphic>
          </wp:inline>
        </w:drawing>
      </w:r>
    </w:p>
    <w:p w:rsidR="00210EC6" w:rsidP="00B91466" w:rsidRDefault="00210EC6" w14:paraId="7F73F67E" w14:textId="1A1436E0">
      <w:pPr>
        <w:pStyle w:val="BodyText125"/>
        <w:rPr>
          <w:lang w:val="en-CA"/>
        </w:rPr>
      </w:pPr>
      <w:r>
        <w:rPr>
          <w:lang w:val="en-CA"/>
        </w:rPr>
        <w:t xml:space="preserve">Table </w:t>
      </w:r>
      <w:r w:rsidR="00CE575E">
        <w:rPr>
          <w:lang w:val="en-CA"/>
        </w:rPr>
        <w:t>4</w:t>
      </w:r>
      <w:r w:rsidR="00D56A16">
        <w:rPr>
          <w:lang w:val="en-CA"/>
        </w:rPr>
        <w:t>-6</w:t>
      </w:r>
      <w:r>
        <w:rPr>
          <w:lang w:val="en-CA"/>
        </w:rPr>
        <w:t xml:space="preserve"> provides for the updated D.C.s in 2023 values, as the study was originally complete</w:t>
      </w:r>
      <w:r w:rsidR="001104F4">
        <w:rPr>
          <w:lang w:val="en-CA"/>
        </w:rPr>
        <w:t>d</w:t>
      </w:r>
      <w:r>
        <w:rPr>
          <w:lang w:val="en-CA"/>
        </w:rPr>
        <w:t xml:space="preserve"> in 2023.  Table </w:t>
      </w:r>
      <w:r w:rsidR="00CE575E">
        <w:rPr>
          <w:lang w:val="en-CA"/>
        </w:rPr>
        <w:t>4</w:t>
      </w:r>
      <w:r w:rsidR="00D56A16">
        <w:rPr>
          <w:lang w:val="en-CA"/>
        </w:rPr>
        <w:t xml:space="preserve">-7 </w:t>
      </w:r>
      <w:r>
        <w:rPr>
          <w:lang w:val="en-CA"/>
        </w:rPr>
        <w:t>provides for the indexed 202</w:t>
      </w:r>
      <w:r w:rsidR="00D56A16">
        <w:rPr>
          <w:lang w:val="en-CA"/>
        </w:rPr>
        <w:t>5</w:t>
      </w:r>
      <w:r>
        <w:rPr>
          <w:lang w:val="en-CA"/>
        </w:rPr>
        <w:t xml:space="preserve"> values as the </w:t>
      </w:r>
      <w:r w:rsidR="005B11E1">
        <w:rPr>
          <w:lang w:val="en-CA"/>
        </w:rPr>
        <w:t>City</w:t>
      </w:r>
      <w:r>
        <w:rPr>
          <w:lang w:val="en-CA"/>
        </w:rPr>
        <w:t xml:space="preserve">’s current D.C.s have been indexed by </w:t>
      </w:r>
      <w:r w:rsidR="00D56A16">
        <w:rPr>
          <w:lang w:val="en-CA"/>
        </w:rPr>
        <w:t>4.8</w:t>
      </w:r>
      <w:r>
        <w:rPr>
          <w:lang w:val="en-CA"/>
        </w:rPr>
        <w:t xml:space="preserve">% since the passage of the D.C. by-law. </w:t>
      </w:r>
    </w:p>
    <w:p w:rsidR="00624712" w:rsidP="00210EC6" w:rsidRDefault="00624712" w14:paraId="1A20B6E3" w14:textId="77777777">
      <w:pPr>
        <w:pStyle w:val="FigureTableTitles"/>
        <w:rPr>
          <w:lang w:val="en-CA"/>
        </w:rPr>
        <w:sectPr w:rsidR="00624712" w:rsidSect="009A60F6">
          <w:footnotePr>
            <w:numRestart w:val="eachPage"/>
          </w:footnotePr>
          <w:pgSz w:w="12240" w:h="15840" w:orient="portrait" w:code="1"/>
          <w:pgMar w:top="1440" w:right="1440" w:bottom="1440" w:left="1440" w:header="432" w:footer="619" w:gutter="0"/>
          <w:cols w:space="708"/>
          <w:titlePg/>
          <w:docGrid w:linePitch="360"/>
        </w:sectPr>
      </w:pPr>
    </w:p>
    <w:p w:rsidR="00210EC6" w:rsidP="00210EC6" w:rsidRDefault="00210EC6" w14:paraId="7620E713" w14:textId="4DC88F61">
      <w:pPr>
        <w:pStyle w:val="FigureTableTitles"/>
        <w:rPr>
          <w:lang w:val="en-CA"/>
        </w:rPr>
      </w:pPr>
      <w:r>
        <w:rPr>
          <w:lang w:val="en-CA"/>
        </w:rPr>
        <w:t xml:space="preserve">Table </w:t>
      </w:r>
      <w:r w:rsidR="00CE575E">
        <w:rPr>
          <w:lang w:val="en-CA"/>
        </w:rPr>
        <w:t>4</w:t>
      </w:r>
      <w:r w:rsidR="00D56A16">
        <w:rPr>
          <w:lang w:val="en-CA"/>
        </w:rPr>
        <w:t>-6</w:t>
      </w:r>
    </w:p>
    <w:p w:rsidR="00210EC6" w:rsidP="00210EC6" w:rsidRDefault="005B11E1" w14:paraId="67DF21FB" w14:textId="1E0D47AF">
      <w:pPr>
        <w:pStyle w:val="FigureTableTitles"/>
        <w:rPr>
          <w:lang w:val="en-CA"/>
        </w:rPr>
      </w:pPr>
      <w:r>
        <w:rPr>
          <w:lang w:val="en-CA"/>
        </w:rPr>
        <w:t>City</w:t>
      </w:r>
      <w:r w:rsidR="00210EC6">
        <w:rPr>
          <w:lang w:val="en-CA"/>
        </w:rPr>
        <w:t xml:space="preserve"> of </w:t>
      </w:r>
      <w:r>
        <w:rPr>
          <w:lang w:val="en-CA"/>
        </w:rPr>
        <w:t>Cambridge</w:t>
      </w:r>
    </w:p>
    <w:p w:rsidR="00210EC6" w:rsidP="00210EC6" w:rsidRDefault="00210EC6" w14:paraId="3CAD5701" w14:textId="77777777">
      <w:pPr>
        <w:pStyle w:val="FigureTableTitles"/>
        <w:rPr>
          <w:lang w:val="en-CA"/>
        </w:rPr>
      </w:pPr>
      <w:r>
        <w:rPr>
          <w:lang w:val="en-CA"/>
        </w:rPr>
        <w:t>Updated D.C. Schedule (2023$)</w:t>
      </w:r>
    </w:p>
    <w:p w:rsidR="00624712" w:rsidP="00624712" w:rsidRDefault="00D073F6" w14:paraId="5F408622" w14:textId="2973EF5B">
      <w:pPr>
        <w:pStyle w:val="BodyText125"/>
        <w:rPr>
          <w:lang w:val="en-CA"/>
        </w:rPr>
      </w:pPr>
      <w:r w:rsidRPr="00D073F6">
        <w:rPr>
          <w:noProof/>
        </w:rPr>
        <w:drawing>
          <wp:inline distT="0" distB="0" distL="0" distR="0" wp14:anchorId="62886DD9" wp14:editId="5C55C64F">
            <wp:extent cx="8229600" cy="3281680"/>
            <wp:effectExtent l="0" t="0" r="0" b="0"/>
            <wp:docPr id="2091946965" name="Picture 12" descr="Updated D.C. Schedul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46965" name="Picture 12" descr="Updated D.C. Schedule (20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3281680"/>
                    </a:xfrm>
                    <a:prstGeom prst="rect">
                      <a:avLst/>
                    </a:prstGeom>
                    <a:noFill/>
                    <a:ln>
                      <a:noFill/>
                    </a:ln>
                  </pic:spPr>
                </pic:pic>
              </a:graphicData>
            </a:graphic>
          </wp:inline>
        </w:drawing>
      </w:r>
    </w:p>
    <w:p w:rsidR="00210EC6" w:rsidP="00210EC6" w:rsidRDefault="00210EC6" w14:paraId="485F3779" w14:textId="27372FF0">
      <w:pPr>
        <w:pStyle w:val="FigureTableTitles"/>
        <w:rPr>
          <w:lang w:val="en-CA"/>
        </w:rPr>
      </w:pPr>
      <w:r>
        <w:rPr>
          <w:lang w:val="en-CA"/>
        </w:rPr>
        <w:t xml:space="preserve">Table </w:t>
      </w:r>
      <w:r w:rsidR="00CE575E">
        <w:rPr>
          <w:lang w:val="en-CA"/>
        </w:rPr>
        <w:t>4</w:t>
      </w:r>
      <w:r w:rsidR="00D56A16">
        <w:rPr>
          <w:lang w:val="en-CA"/>
        </w:rPr>
        <w:t>-7</w:t>
      </w:r>
    </w:p>
    <w:p w:rsidR="00210EC6" w:rsidP="00210EC6" w:rsidRDefault="005B11E1" w14:paraId="3F7395F5" w14:textId="1ECE15AC">
      <w:pPr>
        <w:pStyle w:val="FigureTableTitles"/>
        <w:rPr>
          <w:lang w:val="en-CA"/>
        </w:rPr>
      </w:pPr>
      <w:r>
        <w:rPr>
          <w:lang w:val="en-CA"/>
        </w:rPr>
        <w:t>City</w:t>
      </w:r>
      <w:r w:rsidR="00210EC6">
        <w:rPr>
          <w:lang w:val="en-CA"/>
        </w:rPr>
        <w:t xml:space="preserve"> of </w:t>
      </w:r>
      <w:r>
        <w:rPr>
          <w:lang w:val="en-CA"/>
        </w:rPr>
        <w:t>Cambridge</w:t>
      </w:r>
    </w:p>
    <w:p w:rsidR="00210EC6" w:rsidP="00210EC6" w:rsidRDefault="00210EC6" w14:paraId="47812247" w14:textId="261E5CDC">
      <w:pPr>
        <w:pStyle w:val="FigureTableTitles"/>
        <w:rPr>
          <w:lang w:val="en-CA"/>
        </w:rPr>
      </w:pPr>
      <w:r>
        <w:rPr>
          <w:lang w:val="en-CA"/>
        </w:rPr>
        <w:t>Updated D.C. Schedule (202</w:t>
      </w:r>
      <w:r w:rsidR="00D56A16">
        <w:rPr>
          <w:lang w:val="en-CA"/>
        </w:rPr>
        <w:t>5</w:t>
      </w:r>
      <w:r>
        <w:rPr>
          <w:lang w:val="en-CA"/>
        </w:rPr>
        <w:t>$)</w:t>
      </w:r>
    </w:p>
    <w:p w:rsidRPr="00AB6286" w:rsidR="00624712" w:rsidP="00AB6286" w:rsidRDefault="00335FDE" w14:paraId="03D62020" w14:textId="2A3FBF99">
      <w:pPr>
        <w:pStyle w:val="BodyText125"/>
        <w:sectPr w:rsidRPr="00AB6286" w:rsidR="00624712" w:rsidSect="00624712">
          <w:footnotePr>
            <w:numRestart w:val="eachPage"/>
          </w:footnotePr>
          <w:pgSz w:w="15840" w:h="12240" w:orient="landscape" w:code="1"/>
          <w:pgMar w:top="1440" w:right="1440" w:bottom="1440" w:left="1440" w:header="432" w:footer="619" w:gutter="0"/>
          <w:cols w:space="708"/>
          <w:titlePg/>
          <w:docGrid w:linePitch="360"/>
        </w:sectPr>
      </w:pPr>
      <w:r w:rsidRPr="00335FDE">
        <w:rPr>
          <w:noProof/>
        </w:rPr>
        <w:drawing>
          <wp:inline distT="0" distB="0" distL="0" distR="0" wp14:anchorId="38C01BB0" wp14:editId="47E3CC05">
            <wp:extent cx="8229600" cy="3303270"/>
            <wp:effectExtent l="0" t="0" r="0" b="0"/>
            <wp:docPr id="1537487828" name="Picture 13" descr="Updated D.C. Schedul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7828" name="Picture 13" descr="Updated D.C. Schedule (20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3303270"/>
                    </a:xfrm>
                    <a:prstGeom prst="rect">
                      <a:avLst/>
                    </a:prstGeom>
                    <a:noFill/>
                    <a:ln>
                      <a:noFill/>
                    </a:ln>
                  </pic:spPr>
                </pic:pic>
              </a:graphicData>
            </a:graphic>
          </wp:inline>
        </w:drawing>
      </w:r>
    </w:p>
    <w:p w:rsidRPr="0015322B" w:rsidR="00B4409A" w:rsidP="006A7162" w:rsidRDefault="00821EDC" w14:paraId="489B112A" w14:textId="2C34F272">
      <w:pPr>
        <w:pStyle w:val="ChapterDividers"/>
        <w:rPr>
          <w:noProof w:val="0"/>
          <w:lang w:val="en-CA"/>
        </w:rPr>
      </w:pPr>
      <w:bookmarkStart w:name="_Toc520822931" w:id="27"/>
      <w:bookmarkStart w:name="_Toc520910976" w:id="28"/>
      <w:bookmarkStart w:name="_Toc520911357" w:id="29"/>
      <w:r w:rsidRPr="0015322B">
        <w:rPr>
          <w:noProof w:val="0"/>
          <w:lang w:val="en-CA"/>
        </w:rPr>
        <w:t xml:space="preserve">Chapter </w:t>
      </w:r>
      <w:r w:rsidR="00CE575E">
        <w:rPr>
          <w:noProof w:val="0"/>
          <w:lang w:val="en-CA"/>
        </w:rPr>
        <w:t>5</w:t>
      </w:r>
    </w:p>
    <w:p w:rsidRPr="0015322B" w:rsidR="00B91466" w:rsidP="00B4409A" w:rsidRDefault="00652FE4" w14:paraId="7FEE522B" w14:textId="3C22BCCE">
      <w:pPr>
        <w:pStyle w:val="ChapterDividersTitle"/>
        <w:rPr>
          <w:noProof w:val="0"/>
          <w:lang w:val="en-CA"/>
        </w:rPr>
        <w:sectPr w:rsidRPr="0015322B" w:rsidR="00B91466" w:rsidSect="009A60F6">
          <w:footerReference w:type="default" r:id="rId54"/>
          <w:footerReference w:type="first" r:id="rId55"/>
          <w:footnotePr>
            <w:numRestart w:val="eachPage"/>
          </w:footnotePr>
          <w:pgSz w:w="12240" w:h="15840" w:orient="portrait" w:code="1"/>
          <w:pgMar w:top="1440" w:right="1440" w:bottom="1440" w:left="1440" w:header="432" w:footer="619" w:gutter="0"/>
          <w:cols w:space="708"/>
          <w:titlePg/>
          <w:docGrid w:linePitch="360"/>
        </w:sectPr>
      </w:pPr>
      <w:r>
        <w:rPr>
          <w:noProof w:val="0"/>
          <w:lang w:val="en-CA"/>
        </w:rPr>
        <w:t>Updates to the D.C. By-law</w:t>
      </w:r>
      <w:bookmarkEnd w:id="27"/>
      <w:bookmarkEnd w:id="28"/>
      <w:bookmarkEnd w:id="29"/>
    </w:p>
    <w:p w:rsidRPr="0015322B" w:rsidR="005C382D" w:rsidP="00E422F8" w:rsidRDefault="00652FE4" w14:paraId="74D33A9F" w14:textId="2FDF8547">
      <w:pPr>
        <w:pStyle w:val="Heading1"/>
        <w:rPr>
          <w:lang w:val="en-CA"/>
        </w:rPr>
      </w:pPr>
      <w:bookmarkStart w:name="_Toc213674182" w:id="30"/>
      <w:r>
        <w:rPr>
          <w:lang w:val="en-CA"/>
        </w:rPr>
        <w:t>Updates to the D.C. By-law</w:t>
      </w:r>
      <w:bookmarkEnd w:id="30"/>
    </w:p>
    <w:p w:rsidR="006F6303" w:rsidP="00E422F8" w:rsidRDefault="006F6303" w14:paraId="5947E448" w14:textId="28F12FC7">
      <w:pPr>
        <w:pStyle w:val="BodyText125"/>
        <w:rPr>
          <w:lang w:val="en-CA"/>
        </w:rPr>
      </w:pPr>
      <w:r>
        <w:rPr>
          <w:lang w:val="en-CA"/>
        </w:rPr>
        <w:t>The amending by-law will update the D.C. by-law for the following changes:</w:t>
      </w:r>
    </w:p>
    <w:p w:rsidR="006F6303" w:rsidP="006F6303" w:rsidRDefault="006F6303" w14:paraId="47528A65" w14:textId="735E4398">
      <w:pPr>
        <w:pStyle w:val="BodyTextbullets125"/>
        <w:rPr>
          <w:lang w:val="en-CA"/>
        </w:rPr>
      </w:pPr>
      <w:r>
        <w:rPr>
          <w:lang w:val="en-CA"/>
        </w:rPr>
        <w:t xml:space="preserve">Updated schedule of charges for </w:t>
      </w:r>
      <w:r w:rsidR="00D2494C">
        <w:rPr>
          <w:lang w:val="en-CA"/>
        </w:rPr>
        <w:t>parks and recreation services.</w:t>
      </w:r>
    </w:p>
    <w:p w:rsidR="00CE575E" w:rsidP="006F6303" w:rsidRDefault="00F51BB4" w14:paraId="30AE86FA" w14:textId="0387D603">
      <w:pPr>
        <w:pStyle w:val="BodyTextbullets125"/>
        <w:rPr>
          <w:lang w:val="en-CA"/>
        </w:rPr>
      </w:pPr>
      <w:r>
        <w:rPr>
          <w:lang w:val="en-CA"/>
        </w:rPr>
        <w:t>Aligning with the</w:t>
      </w:r>
      <w:r w:rsidR="000C1512">
        <w:rPr>
          <w:lang w:val="en-CA"/>
        </w:rPr>
        <w:t xml:space="preserve"> amended D.C.A., as per Bill 17: </w:t>
      </w:r>
      <w:r w:rsidR="000C1512">
        <w:rPr>
          <w:i/>
          <w:iCs/>
          <w:lang w:val="en-CA"/>
        </w:rPr>
        <w:t>Protect Ontario by Building Faster and Smarter Act, 2025</w:t>
      </w:r>
      <w:r w:rsidR="00D969C9">
        <w:rPr>
          <w:lang w:val="en-CA"/>
        </w:rPr>
        <w:t>:</w:t>
      </w:r>
    </w:p>
    <w:p w:rsidR="00D969C9" w:rsidP="00D969C9" w:rsidRDefault="00D969C9" w14:paraId="347CED9B" w14:textId="107ADFD2">
      <w:pPr>
        <w:pStyle w:val="BodyTextbullets125"/>
        <w:numPr>
          <w:ilvl w:val="1"/>
          <w:numId w:val="1"/>
        </w:numPr>
        <w:rPr>
          <w:lang w:val="en-CA"/>
        </w:rPr>
      </w:pPr>
      <w:r>
        <w:rPr>
          <w:lang w:val="en-CA"/>
        </w:rPr>
        <w:t xml:space="preserve">Addition of long-term care home </w:t>
      </w:r>
      <w:proofErr w:type="gramStart"/>
      <w:r>
        <w:rPr>
          <w:lang w:val="en-CA"/>
        </w:rPr>
        <w:t>exemption;</w:t>
      </w:r>
      <w:proofErr w:type="gramEnd"/>
      <w:r>
        <w:rPr>
          <w:lang w:val="en-CA"/>
        </w:rPr>
        <w:t xml:space="preserve"> </w:t>
      </w:r>
    </w:p>
    <w:p w:rsidR="00D969C9" w:rsidP="00D969C9" w:rsidRDefault="00D969C9" w14:paraId="67FFA6E6" w14:textId="5205C981">
      <w:pPr>
        <w:pStyle w:val="BodyTextbullets125"/>
        <w:numPr>
          <w:ilvl w:val="1"/>
          <w:numId w:val="1"/>
        </w:numPr>
        <w:rPr>
          <w:lang w:val="en-CA"/>
        </w:rPr>
      </w:pPr>
      <w:r>
        <w:rPr>
          <w:lang w:val="en-CA"/>
        </w:rPr>
        <w:t xml:space="preserve">Deferral of D.C. payment for residential development to </w:t>
      </w:r>
      <w:proofErr w:type="gramStart"/>
      <w:r>
        <w:rPr>
          <w:lang w:val="en-CA"/>
        </w:rPr>
        <w:t>occupancy;</w:t>
      </w:r>
      <w:proofErr w:type="gramEnd"/>
      <w:r>
        <w:rPr>
          <w:lang w:val="en-CA"/>
        </w:rPr>
        <w:t xml:space="preserve"> </w:t>
      </w:r>
    </w:p>
    <w:p w:rsidR="00D969C9" w:rsidP="00D969C9" w:rsidRDefault="00D969C9" w14:paraId="40557F33" w14:textId="21F42B47">
      <w:pPr>
        <w:pStyle w:val="BodyTextbullets125"/>
        <w:numPr>
          <w:ilvl w:val="1"/>
          <w:numId w:val="1"/>
        </w:numPr>
        <w:rPr>
          <w:lang w:val="en-CA"/>
        </w:rPr>
      </w:pPr>
      <w:r>
        <w:rPr>
          <w:lang w:val="en-CA"/>
        </w:rPr>
        <w:t xml:space="preserve">Removal of interest </w:t>
      </w:r>
      <w:r w:rsidR="00A20443">
        <w:rPr>
          <w:lang w:val="en-CA"/>
        </w:rPr>
        <w:t xml:space="preserve">on installments for rental housing and institutional </w:t>
      </w:r>
      <w:proofErr w:type="gramStart"/>
      <w:r w:rsidR="00A20443">
        <w:rPr>
          <w:lang w:val="en-CA"/>
        </w:rPr>
        <w:t>development;</w:t>
      </w:r>
      <w:proofErr w:type="gramEnd"/>
      <w:r w:rsidR="00A20443">
        <w:rPr>
          <w:lang w:val="en-CA"/>
        </w:rPr>
        <w:t xml:space="preserve"> </w:t>
      </w:r>
    </w:p>
    <w:p w:rsidR="00A20443" w:rsidP="00D969C9" w:rsidRDefault="00A20443" w14:paraId="68A3D883" w14:textId="6B5D2746">
      <w:pPr>
        <w:pStyle w:val="BodyTextbullets125"/>
        <w:numPr>
          <w:ilvl w:val="1"/>
          <w:numId w:val="1"/>
        </w:numPr>
        <w:rPr>
          <w:lang w:val="en-CA"/>
        </w:rPr>
      </w:pPr>
      <w:r>
        <w:rPr>
          <w:lang w:val="en-CA"/>
        </w:rPr>
        <w:t>Ability for early payment of residential</w:t>
      </w:r>
      <w:r w:rsidR="00F40568">
        <w:rPr>
          <w:lang w:val="en-CA"/>
        </w:rPr>
        <w:t xml:space="preserve"> or institutional D.C.s without the need to enter into an agreement with the </w:t>
      </w:r>
      <w:proofErr w:type="gramStart"/>
      <w:r w:rsidR="00F40568">
        <w:rPr>
          <w:lang w:val="en-CA"/>
        </w:rPr>
        <w:t>City</w:t>
      </w:r>
      <w:proofErr w:type="gramEnd"/>
      <w:r w:rsidR="00F40568">
        <w:rPr>
          <w:lang w:val="en-CA"/>
        </w:rPr>
        <w:t>; and</w:t>
      </w:r>
    </w:p>
    <w:p w:rsidR="00F40568" w:rsidP="00C90251" w:rsidRDefault="003F09E9" w14:paraId="180AD91E" w14:textId="22442BA0">
      <w:pPr>
        <w:pStyle w:val="BodyTextbullets125"/>
        <w:numPr>
          <w:ilvl w:val="1"/>
          <w:numId w:val="1"/>
        </w:numPr>
        <w:rPr>
          <w:lang w:val="en-CA"/>
        </w:rPr>
      </w:pPr>
      <w:r w:rsidRPr="003F09E9">
        <w:rPr>
          <w:lang w:val="en-CA"/>
        </w:rPr>
        <w:t>For developments proceeding through site plan/zoning by-law amendment application</w:t>
      </w:r>
      <w:r w:rsidR="0055360B">
        <w:rPr>
          <w:lang w:val="en-CA"/>
        </w:rPr>
        <w:t xml:space="preserve">, the D.C. payable is based on the </w:t>
      </w:r>
      <w:r w:rsidRPr="003F09E9">
        <w:rPr>
          <w:lang w:val="en-CA"/>
        </w:rPr>
        <w:t xml:space="preserve">lower of the “frozen” rate or the </w:t>
      </w:r>
      <w:r w:rsidR="0055360B">
        <w:rPr>
          <w:lang w:val="en-CA"/>
        </w:rPr>
        <w:t xml:space="preserve">rate at the time the D.C. is payable. </w:t>
      </w:r>
    </w:p>
    <w:p w:rsidRPr="0015322B" w:rsidR="00AB6286" w:rsidP="00E422F8" w:rsidRDefault="00AB6286" w14:paraId="3D477871" w14:textId="65DC5B89">
      <w:pPr>
        <w:pStyle w:val="BodyText125"/>
        <w:rPr>
          <w:lang w:val="en-CA"/>
        </w:rPr>
      </w:pPr>
      <w:r w:rsidRPr="00276B62">
        <w:rPr>
          <w:lang w:val="en-CA"/>
        </w:rPr>
        <w:t>The draft amending by-law that provides for th</w:t>
      </w:r>
      <w:r w:rsidRPr="00276B62" w:rsidR="006F6303">
        <w:rPr>
          <w:lang w:val="en-CA"/>
        </w:rPr>
        <w:t>ese</w:t>
      </w:r>
      <w:r w:rsidRPr="00276B62">
        <w:rPr>
          <w:lang w:val="en-CA"/>
        </w:rPr>
        <w:t xml:space="preserve"> amendment</w:t>
      </w:r>
      <w:r w:rsidRPr="00276B62" w:rsidR="006F6303">
        <w:rPr>
          <w:lang w:val="en-CA"/>
        </w:rPr>
        <w:t>s</w:t>
      </w:r>
      <w:r w:rsidRPr="00276B62">
        <w:rPr>
          <w:lang w:val="en-CA"/>
        </w:rPr>
        <w:t xml:space="preserve"> is included in Appendix D to this report.</w:t>
      </w:r>
      <w:r>
        <w:rPr>
          <w:lang w:val="en-CA"/>
        </w:rPr>
        <w:t xml:space="preserve"> </w:t>
      </w:r>
    </w:p>
    <w:p w:rsidRPr="0015322B" w:rsidR="00332D9E" w:rsidP="00E422F8" w:rsidRDefault="00332D9E" w14:paraId="1177853E" w14:textId="77777777">
      <w:pPr>
        <w:pStyle w:val="BodyText125"/>
        <w:rPr>
          <w:lang w:val="en-CA"/>
        </w:rPr>
        <w:sectPr w:rsidRPr="0015322B" w:rsidR="00332D9E" w:rsidSect="009A60F6">
          <w:headerReference w:type="default" r:id="rId56"/>
          <w:footerReference w:type="default" r:id="rId57"/>
          <w:footerReference w:type="first" r:id="rId58"/>
          <w:footnotePr>
            <w:numRestart w:val="eachPage"/>
          </w:footnotePr>
          <w:pgSz w:w="12240" w:h="15840" w:orient="portrait" w:code="1"/>
          <w:pgMar w:top="1440" w:right="1440" w:bottom="1440" w:left="1440" w:header="432" w:footer="619" w:gutter="0"/>
          <w:cols w:space="708"/>
          <w:titlePg/>
          <w:docGrid w:linePitch="360"/>
        </w:sectPr>
      </w:pPr>
    </w:p>
    <w:p w:rsidRPr="0015322B" w:rsidR="00B4409A" w:rsidP="006A7162" w:rsidRDefault="00821EDC" w14:paraId="313F4F26" w14:textId="5C44C9D1">
      <w:pPr>
        <w:pStyle w:val="ChapterDividers"/>
        <w:rPr>
          <w:noProof w:val="0"/>
          <w:lang w:val="en-CA"/>
        </w:rPr>
      </w:pPr>
      <w:bookmarkStart w:name="_Toc520822960" w:id="31"/>
      <w:bookmarkStart w:name="_Toc520911005" w:id="32"/>
      <w:bookmarkStart w:name="_Toc520911386" w:id="33"/>
      <w:r w:rsidRPr="0015322B">
        <w:rPr>
          <w:noProof w:val="0"/>
          <w:lang w:val="en-CA"/>
        </w:rPr>
        <w:t xml:space="preserve">Chapter </w:t>
      </w:r>
      <w:r w:rsidR="00CE575E">
        <w:rPr>
          <w:noProof w:val="0"/>
          <w:lang w:val="en-CA"/>
        </w:rPr>
        <w:t>6</w:t>
      </w:r>
    </w:p>
    <w:p w:rsidRPr="0015322B" w:rsidR="00E422F8" w:rsidP="00B4409A" w:rsidRDefault="00652FE4" w14:paraId="64CC4469" w14:textId="6A9378EB">
      <w:pPr>
        <w:pStyle w:val="ChapterDividersTitle"/>
        <w:rPr>
          <w:noProof w:val="0"/>
          <w:lang w:val="en-CA"/>
        </w:rPr>
        <w:sectPr w:rsidRPr="0015322B" w:rsidR="00E422F8" w:rsidSect="009A60F6">
          <w:footerReference w:type="default" r:id="rId59"/>
          <w:footerReference w:type="first" r:id="rId60"/>
          <w:footnotePr>
            <w:numRestart w:val="eachPage"/>
          </w:footnotePr>
          <w:pgSz w:w="12240" w:h="15840" w:orient="portrait" w:code="1"/>
          <w:pgMar w:top="1440" w:right="1440" w:bottom="1440" w:left="1440" w:header="432" w:footer="619" w:gutter="0"/>
          <w:cols w:space="708"/>
          <w:titlePg/>
          <w:docGrid w:linePitch="360"/>
        </w:sectPr>
      </w:pPr>
      <w:r>
        <w:rPr>
          <w:noProof w:val="0"/>
          <w:lang w:val="en-CA"/>
        </w:rPr>
        <w:t>Recommendations</w:t>
      </w:r>
      <w:bookmarkEnd w:id="31"/>
      <w:bookmarkEnd w:id="32"/>
      <w:bookmarkEnd w:id="33"/>
    </w:p>
    <w:p w:rsidRPr="0015322B" w:rsidR="005C382D" w:rsidP="00E422F8" w:rsidRDefault="00652FE4" w14:paraId="0B6967A9" w14:textId="26EBBF0E">
      <w:pPr>
        <w:pStyle w:val="Heading1"/>
        <w:rPr>
          <w:lang w:val="en-CA"/>
        </w:rPr>
      </w:pPr>
      <w:bookmarkStart w:name="_Toc520822961" w:id="34"/>
      <w:bookmarkStart w:name="_Toc520911006" w:id="35"/>
      <w:bookmarkStart w:name="_Toc520911387" w:id="36"/>
      <w:bookmarkStart w:name="_Toc213674183" w:id="37"/>
      <w:r>
        <w:rPr>
          <w:lang w:val="en-CA"/>
        </w:rPr>
        <w:t>Recommendations</w:t>
      </w:r>
      <w:bookmarkEnd w:id="34"/>
      <w:bookmarkEnd w:id="35"/>
      <w:bookmarkEnd w:id="36"/>
      <w:bookmarkEnd w:id="37"/>
    </w:p>
    <w:p w:rsidR="00523931" w:rsidP="00E551F0" w:rsidRDefault="00523931" w14:paraId="1F98D7D6" w14:textId="4474821E">
      <w:pPr>
        <w:pStyle w:val="BodyText125"/>
        <w:rPr>
          <w:lang w:val="en-CA"/>
        </w:rPr>
      </w:pPr>
      <w:r>
        <w:rPr>
          <w:lang w:val="en-CA"/>
        </w:rPr>
        <w:t>It is recommended that Council:</w:t>
      </w:r>
    </w:p>
    <w:p w:rsidRPr="00BE3133" w:rsidR="00523931" w:rsidP="00523931" w:rsidRDefault="00523931" w14:paraId="1B4BA688" w14:textId="316E577A">
      <w:pPr>
        <w:pStyle w:val="BodyText125"/>
        <w:ind w:left="360"/>
        <w:rPr>
          <w:lang w:val="en-CA"/>
        </w:rPr>
      </w:pPr>
      <w:r w:rsidRPr="00BE3133">
        <w:rPr>
          <w:lang w:val="en-CA"/>
        </w:rPr>
        <w:t xml:space="preserve">“Approve the Development Charges Update Study dated </w:t>
      </w:r>
      <w:r w:rsidR="00D2494C">
        <w:rPr>
          <w:lang w:val="en-CA"/>
        </w:rPr>
        <w:t>November 11</w:t>
      </w:r>
      <w:r w:rsidRPr="00BE3133">
        <w:rPr>
          <w:lang w:val="en-CA"/>
        </w:rPr>
        <w:t>, 202</w:t>
      </w:r>
      <w:r w:rsidR="00D2494C">
        <w:rPr>
          <w:lang w:val="en-CA"/>
        </w:rPr>
        <w:t>5</w:t>
      </w:r>
      <w:r w:rsidRPr="00BE3133">
        <w:rPr>
          <w:lang w:val="en-CA"/>
        </w:rPr>
        <w:t>, as amended (if applicable)</w:t>
      </w:r>
      <w:proofErr w:type="gramStart"/>
      <w:r w:rsidRPr="00BE3133">
        <w:rPr>
          <w:lang w:val="en-CA"/>
        </w:rPr>
        <w:t>";</w:t>
      </w:r>
      <w:proofErr w:type="gramEnd"/>
    </w:p>
    <w:p w:rsidRPr="00883F46" w:rsidR="00523931" w:rsidP="00523931" w:rsidRDefault="00523931" w14:paraId="404068CD" w14:textId="25ED6BD9">
      <w:pPr>
        <w:pStyle w:val="BodyText125"/>
        <w:ind w:left="360"/>
        <w:rPr>
          <w:lang w:val="en-CA"/>
        </w:rPr>
      </w:pPr>
      <w:r w:rsidRPr="00BE3133">
        <w:rPr>
          <w:lang w:val="en-CA"/>
        </w:rPr>
        <w:t xml:space="preserve">“Approve the </w:t>
      </w:r>
      <w:r>
        <w:rPr>
          <w:lang w:val="en-CA"/>
        </w:rPr>
        <w:t>capital project listing</w:t>
      </w:r>
      <w:r w:rsidRPr="00BE3133">
        <w:rPr>
          <w:lang w:val="en-CA"/>
        </w:rPr>
        <w:t xml:space="preserve"> set out in Chapter </w:t>
      </w:r>
      <w:r w:rsidR="005C6FD2">
        <w:rPr>
          <w:lang w:val="en-CA"/>
        </w:rPr>
        <w:t>4</w:t>
      </w:r>
      <w:r w:rsidRPr="00BE3133" w:rsidR="005C6FD2">
        <w:rPr>
          <w:lang w:val="en-CA"/>
        </w:rPr>
        <w:t xml:space="preserve"> </w:t>
      </w:r>
      <w:r w:rsidRPr="00BE3133">
        <w:rPr>
          <w:lang w:val="en-CA"/>
        </w:rPr>
        <w:t xml:space="preserve">of the Development Charges Update Study dated </w:t>
      </w:r>
      <w:r w:rsidR="00D2494C">
        <w:rPr>
          <w:lang w:val="en-CA"/>
        </w:rPr>
        <w:t>November 11, 2025</w:t>
      </w:r>
      <w:r>
        <w:rPr>
          <w:lang w:val="en-CA"/>
        </w:rPr>
        <w:t>, subject to further annual review during the capital budget process</w:t>
      </w:r>
      <w:proofErr w:type="gramStart"/>
      <w:r w:rsidRPr="00BE3133">
        <w:rPr>
          <w:lang w:val="en-CA"/>
        </w:rPr>
        <w:t>”;</w:t>
      </w:r>
      <w:proofErr w:type="gramEnd"/>
    </w:p>
    <w:p w:rsidR="00E028CD" w:rsidP="04DE1885" w:rsidRDefault="00523931" w14:paraId="4D8B4417" w14:textId="77777777">
      <w:pPr>
        <w:pStyle w:val="BodyText125"/>
        <w:ind w:left="360"/>
        <w:rPr>
          <w:lang w:val="en-US"/>
        </w:rPr>
      </w:pPr>
      <w:r w:rsidRPr="04DE1885" w:rsidR="00523931">
        <w:rPr>
          <w:lang w:val="en-US"/>
        </w:rPr>
        <w:t>“Determine that no further public meeting is required</w:t>
      </w:r>
      <w:r w:rsidRPr="04DE1885" w:rsidR="00523931">
        <w:rPr>
          <w:lang w:val="en-US"/>
        </w:rPr>
        <w:t>”;</w:t>
      </w:r>
      <w:r w:rsidRPr="04DE1885" w:rsidR="00523931">
        <w:rPr>
          <w:lang w:val="en-US"/>
        </w:rPr>
        <w:t xml:space="preserve"> </w:t>
      </w:r>
    </w:p>
    <w:p w:rsidR="00523931" w:rsidP="00523931" w:rsidRDefault="00E028CD" w14:paraId="4F32ED59" w14:textId="2D71B14E">
      <w:pPr>
        <w:pStyle w:val="BodyText125"/>
        <w:ind w:left="360"/>
        <w:rPr>
          <w:lang w:val="en-CA"/>
        </w:rPr>
      </w:pPr>
      <w:r>
        <w:rPr>
          <w:lang w:val="en-CA"/>
        </w:rPr>
        <w:t>“</w:t>
      </w:r>
      <w:r w:rsidR="00737594">
        <w:rPr>
          <w:lang w:val="en-CA"/>
        </w:rPr>
        <w:t xml:space="preserve">Confirm the Local Service Policy was </w:t>
      </w:r>
      <w:proofErr w:type="gramStart"/>
      <w:r w:rsidR="00737594">
        <w:rPr>
          <w:lang w:val="en-CA"/>
        </w:rPr>
        <w:t>reviewed</w:t>
      </w:r>
      <w:proofErr w:type="gramEnd"/>
      <w:r w:rsidR="00737594">
        <w:rPr>
          <w:lang w:val="en-CA"/>
        </w:rPr>
        <w:t xml:space="preserve"> and no changes are required”; </w:t>
      </w:r>
      <w:r w:rsidR="006530AC">
        <w:rPr>
          <w:lang w:val="en-CA"/>
        </w:rPr>
        <w:t>and</w:t>
      </w:r>
    </w:p>
    <w:p w:rsidRPr="0015322B" w:rsidR="00E551F0" w:rsidP="4FA7D9DC" w:rsidRDefault="00523931" w14:paraId="3B0E7C70" w14:textId="280E2783">
      <w:pPr>
        <w:pStyle w:val="BodyText125"/>
        <w:ind w:left="360"/>
      </w:pPr>
      <w:r w:rsidRPr="4FA7D9DC">
        <w:t xml:space="preserve">“Approve the amending D.C. by-law as set out in Appendix </w:t>
      </w:r>
      <w:r w:rsidRPr="4FA7D9DC" w:rsidR="00276B62">
        <w:t>D</w:t>
      </w:r>
      <w:r w:rsidRPr="4FA7D9DC">
        <w:t>”</w:t>
      </w:r>
      <w:r w:rsidRPr="4FA7D9DC" w:rsidR="006530AC">
        <w:t>.</w:t>
      </w:r>
    </w:p>
    <w:p w:rsidRPr="0015322B" w:rsidR="00332D9E" w:rsidP="00E3772E" w:rsidRDefault="00332D9E" w14:paraId="35C89DD2" w14:textId="77777777">
      <w:pPr>
        <w:pStyle w:val="BodyText125"/>
        <w:rPr>
          <w:i/>
          <w:lang w:val="en-CA"/>
        </w:rPr>
        <w:sectPr w:rsidRPr="0015322B" w:rsidR="00332D9E" w:rsidSect="009A60F6">
          <w:footerReference w:type="default" r:id="rId61"/>
          <w:footerReference w:type="first" r:id="rId62"/>
          <w:footnotePr>
            <w:numRestart w:val="eachPage"/>
          </w:footnotePr>
          <w:pgSz w:w="12240" w:h="15840" w:orient="portrait" w:code="1"/>
          <w:pgMar w:top="1440" w:right="1440" w:bottom="1440" w:left="1440" w:header="432" w:footer="619" w:gutter="0"/>
          <w:cols w:space="708"/>
          <w:titlePg/>
          <w:docGrid w:linePitch="360"/>
        </w:sectPr>
      </w:pPr>
    </w:p>
    <w:p w:rsidRPr="0015322B" w:rsidR="00AC3711" w:rsidP="00AC3711" w:rsidRDefault="00AC3711" w14:paraId="6B1015B6" w14:textId="77777777">
      <w:pPr>
        <w:rPr>
          <w:lang w:val="en-CA"/>
        </w:rPr>
        <w:sectPr w:rsidRPr="0015322B" w:rsidR="00AC3711" w:rsidSect="00931F19">
          <w:headerReference w:type="default" r:id="rId63"/>
          <w:footerReference w:type="default" r:id="rId64"/>
          <w:headerReference w:type="first" r:id="rId65"/>
          <w:footerReference w:type="first" r:id="rId66"/>
          <w:pgSz w:w="12240" w:h="15840" w:orient="portrait" w:code="1"/>
          <w:pgMar w:top="0" w:right="0" w:bottom="0" w:left="0" w:header="0" w:footer="619" w:gutter="0"/>
          <w:cols w:space="708"/>
          <w:docGrid w:linePitch="360"/>
        </w:sectPr>
      </w:pPr>
      <w:r w:rsidRPr="0015322B">
        <w:rPr>
          <w:noProof/>
          <w:color w:val="FF0000"/>
          <w:lang w:val="en-CA"/>
        </w:rPr>
        <mc:AlternateContent>
          <mc:Choice Requires="wps">
            <w:drawing>
              <wp:inline distT="0" distB="0" distL="0" distR="0" wp14:anchorId="0D804D8E" wp14:editId="0E2C0274">
                <wp:extent cx="7772400" cy="5943600"/>
                <wp:effectExtent l="0" t="0" r="0" b="0"/>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943600"/>
                        </a:xfrm>
                        <a:prstGeom prst="rect">
                          <a:avLst/>
                        </a:prstGeom>
                        <a:noFill/>
                        <a:ln w="9525">
                          <a:noFill/>
                          <a:miter lim="800000"/>
                          <a:headEnd/>
                          <a:tailEnd/>
                        </a:ln>
                      </wps:spPr>
                      <wps:txbx>
                        <w:txbxContent>
                          <w:p w:rsidRPr="00AC3711" w:rsidR="002B5311" w:rsidP="00AC3711" w:rsidRDefault="002B5311" w14:paraId="30DDDF4D" w14:textId="77777777">
                            <w:pPr>
                              <w:pStyle w:val="Dividers"/>
                            </w:pPr>
                            <w:r>
                              <w:t>Appendices</w:t>
                            </w:r>
                          </w:p>
                        </w:txbxContent>
                      </wps:txbx>
                      <wps:bodyPr rot="0" vert="horz" wrap="square" lIns="91440" tIns="45720" rIns="91440" bIns="45720" anchor="t" anchorCtr="0">
                        <a:noAutofit/>
                      </wps:bodyPr>
                    </wps:wsp>
                  </a:graphicData>
                </a:graphic>
              </wp:inline>
            </w:drawing>
          </mc:Choice>
          <mc:Fallback>
            <w:pict w14:anchorId="6A22C390">
              <v:shape id="_x0000_s1028" style="width:612pt;height:468pt;visibility:visible;mso-wrap-style:square;mso-left-percent:-10001;mso-top-percent:-10001;mso-position-horizontal:absolute;mso-position-horizontal-relative:char;mso-position-vertical:absolute;mso-position-vertical-relative:line;mso-left-percent:-10001;mso-top-percent:-10001;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" w14:anchorId="0D804D8E">
                <v:textbox>
                  <w:txbxContent>
                    <w:p w:rsidRPr="00AC3711" w:rsidR="002B5311" w:rsidP="00AC3711" w:rsidRDefault="002B5311" w14:paraId="415A6A99" w14:textId="77777777">
                      <w:pPr>
                        <w:pStyle w:val="Dividers"/>
                      </w:pPr>
                      <w:r>
                        <w:t>Appendices</w:t>
                      </w:r>
                    </w:p>
                  </w:txbxContent>
                </v:textbox>
                <w10:anchorlock/>
              </v:shape>
            </w:pict>
          </mc:Fallback>
        </mc:AlternateContent>
      </w:r>
    </w:p>
    <w:p w:rsidRPr="0015322B" w:rsidR="00750DB7" w:rsidP="002D337C" w:rsidRDefault="00750DB7" w14:paraId="631DE405" w14:textId="0B2C3961">
      <w:pPr>
        <w:pStyle w:val="APPdivider"/>
        <w:tabs>
          <w:tab w:val="left" w:pos="5400"/>
        </w:tabs>
        <w:rPr>
          <w:lang w:val="en-CA"/>
        </w:rPr>
        <w:sectPr w:rsidRPr="0015322B" w:rsidR="00750DB7" w:rsidSect="00931F19">
          <w:headerReference w:type="default" r:id="rId67"/>
          <w:footerReference w:type="default" r:id="rId68"/>
          <w:headerReference w:type="first" r:id="rId69"/>
          <w:footerReference w:type="first" r:id="rId70"/>
          <w:footnotePr>
            <w:numRestart w:val="eachPage"/>
          </w:footnotePr>
          <w:pgSz w:w="12240" w:h="15840" w:orient="portrait" w:code="1"/>
          <w:pgMar w:top="1440" w:right="1440" w:bottom="1440" w:left="1440" w:header="432" w:footer="624" w:gutter="0"/>
          <w:pgNumType w:start="1"/>
          <w:cols w:space="708"/>
          <w:titlePg/>
          <w:docGrid w:linePitch="360"/>
        </w:sectPr>
      </w:pPr>
      <w:bookmarkStart w:name="_Toc213674184" w:id="38"/>
      <w:r w:rsidRPr="0015322B">
        <w:rPr>
          <w:lang w:val="en-CA"/>
        </w:rPr>
        <w:t>Appendix A</w:t>
      </w:r>
      <w:r w:rsidR="001A29AA">
        <w:rPr>
          <w:lang w:val="en-CA"/>
        </w:rPr>
        <w:t xml:space="preserve"> </w:t>
      </w:r>
      <w:r w:rsidRPr="0015322B" w:rsidR="00620725">
        <w:rPr>
          <w:lang w:val="en-CA"/>
        </w:rPr>
        <w:br/>
      </w:r>
      <w:r w:rsidR="00652FE4">
        <w:rPr>
          <w:rStyle w:val="APPDividerTitleChar"/>
          <w:lang w:val="en-CA"/>
        </w:rPr>
        <w:t xml:space="preserve">Existing Policies Under By-law </w:t>
      </w:r>
      <w:r w:rsidR="00276B62">
        <w:rPr>
          <w:rStyle w:val="APPDividerTitleChar"/>
          <w:lang w:val="en-CA"/>
        </w:rPr>
        <w:t>24-042</w:t>
      </w:r>
      <w:bookmarkEnd w:id="38"/>
      <w:r w:rsidRPr="0015322B">
        <w:rPr>
          <w:lang w:val="en-CA"/>
        </w:rPr>
        <w:t xml:space="preserve"> </w:t>
      </w:r>
    </w:p>
    <w:p w:rsidRPr="0015322B" w:rsidR="00194B3A" w:rsidP="00620725" w:rsidRDefault="00194B3A" w14:paraId="0CC18C3B" w14:textId="4836B04B">
      <w:pPr>
        <w:pStyle w:val="APP1stpage"/>
        <w:rPr>
          <w:lang w:val="en-CA"/>
        </w:rPr>
      </w:pPr>
      <w:r w:rsidRPr="0015322B">
        <w:rPr>
          <w:lang w:val="en-CA"/>
        </w:rPr>
        <w:t>Appendix A</w:t>
      </w:r>
      <w:r w:rsidRPr="0015322B" w:rsidR="00620725">
        <w:rPr>
          <w:lang w:val="en-CA"/>
        </w:rPr>
        <w:t xml:space="preserve">:  </w:t>
      </w:r>
      <w:r w:rsidRPr="00652FE4" w:rsidR="00652FE4">
        <w:rPr>
          <w:lang w:val="en-CA"/>
        </w:rPr>
        <w:t xml:space="preserve">Existing Policies Under By-law </w:t>
      </w:r>
      <w:r w:rsidR="00276B62">
        <w:rPr>
          <w:lang w:val="en-CA"/>
        </w:rPr>
        <w:t>24-042</w:t>
      </w:r>
    </w:p>
    <w:p w:rsidR="000A0CE8" w:rsidP="000A0CE8" w:rsidRDefault="009F377B" w14:paraId="782D62EF" w14:textId="0BDB839F">
      <w:pPr>
        <w:pStyle w:val="BodyText125"/>
        <w:rPr>
          <w:lang w:val="en-CA"/>
        </w:rPr>
      </w:pPr>
      <w:r>
        <w:rPr>
          <w:lang w:val="en-CA"/>
        </w:rPr>
        <w:t xml:space="preserve">The following subsections set out the rules governing the calculation, payment, and collection of </w:t>
      </w:r>
      <w:proofErr w:type="gramStart"/>
      <w:r>
        <w:rPr>
          <w:lang w:val="en-CA"/>
        </w:rPr>
        <w:t>D</w:t>
      </w:r>
      <w:proofErr w:type="gramEnd"/>
      <w:r>
        <w:rPr>
          <w:lang w:val="en-CA"/>
        </w:rPr>
        <w:t xml:space="preserve">.C.s as provided in By-law </w:t>
      </w:r>
      <w:r w:rsidR="00276B62">
        <w:rPr>
          <w:lang w:val="en-CA"/>
        </w:rPr>
        <w:t>24-042</w:t>
      </w:r>
      <w:r w:rsidR="006D3892">
        <w:rPr>
          <w:lang w:val="en-CA"/>
        </w:rPr>
        <w:t xml:space="preserve"> as well as all other D.C. by-laws currently in-</w:t>
      </w:r>
      <w:proofErr w:type="gramStart"/>
      <w:r w:rsidR="006D3892">
        <w:rPr>
          <w:lang w:val="en-CA"/>
        </w:rPr>
        <w:t xml:space="preserve">force, </w:t>
      </w:r>
      <w:r>
        <w:rPr>
          <w:lang w:val="en-CA"/>
        </w:rPr>
        <w:t xml:space="preserve"> in</w:t>
      </w:r>
      <w:proofErr w:type="gramEnd"/>
      <w:r>
        <w:rPr>
          <w:lang w:val="en-CA"/>
        </w:rPr>
        <w:t xml:space="preserve"> accordance with the D.C.A.</w:t>
      </w:r>
    </w:p>
    <w:p w:rsidRPr="004C7F3B" w:rsidR="009F377B" w:rsidP="009F377B" w:rsidRDefault="009F377B" w14:paraId="46C340E1" w14:textId="77777777">
      <w:pPr>
        <w:pStyle w:val="BoldHeading"/>
        <w:rPr>
          <w:lang w:val="en-CA"/>
        </w:rPr>
      </w:pPr>
      <w:r>
        <w:rPr>
          <w:lang w:val="en-CA"/>
        </w:rPr>
        <w:t>Approvals for Development</w:t>
      </w:r>
    </w:p>
    <w:p w:rsidRPr="006C2EC1" w:rsidR="009F377B" w:rsidP="009F377B" w:rsidRDefault="009F377B" w14:paraId="4B9CE056" w14:textId="08A61685">
      <w:pPr>
        <w:pStyle w:val="BodyText125"/>
        <w:rPr>
          <w:lang w:val="en-CA" w:eastAsia="ja-JP"/>
        </w:rPr>
      </w:pPr>
      <w:r>
        <w:rPr>
          <w:lang w:val="en-CA" w:eastAsia="ja-JP"/>
        </w:rPr>
        <w:t xml:space="preserve">The development of land is subject to D.C.s where the </w:t>
      </w:r>
      <w:r w:rsidR="001104F4">
        <w:rPr>
          <w:lang w:val="en-CA" w:eastAsia="ja-JP"/>
        </w:rPr>
        <w:t>d</w:t>
      </w:r>
      <w:r>
        <w:rPr>
          <w:lang w:val="en-CA" w:eastAsia="ja-JP"/>
        </w:rPr>
        <w:t>evelopment requires</w:t>
      </w:r>
      <w:r w:rsidRPr="006C2EC1">
        <w:rPr>
          <w:lang w:val="en-CA" w:eastAsia="ja-JP"/>
        </w:rPr>
        <w:t xml:space="preserve"> the following:</w:t>
      </w:r>
    </w:p>
    <w:p w:rsidRPr="006C2EC1" w:rsidR="009F377B" w:rsidP="009F377B" w:rsidRDefault="009F377B" w14:paraId="5C5732F5" w14:textId="77777777">
      <w:pPr>
        <w:pStyle w:val="BodyText125"/>
        <w:numPr>
          <w:ilvl w:val="0"/>
          <w:numId w:val="10"/>
        </w:numPr>
        <w:rPr>
          <w:lang w:val="en-CA" w:eastAsia="ja-JP"/>
        </w:rPr>
      </w:pPr>
      <w:r w:rsidRPr="006C2EC1">
        <w:rPr>
          <w:lang w:val="en-CA" w:eastAsia="ja-JP"/>
        </w:rPr>
        <w:t xml:space="preserve">the passing of a zoning by-law or of an amendment to a zoning by-law under section 34 of the </w:t>
      </w:r>
      <w:r w:rsidRPr="00F43C78">
        <w:rPr>
          <w:i/>
          <w:iCs/>
          <w:lang w:val="en-CA" w:eastAsia="ja-JP"/>
        </w:rPr>
        <w:t xml:space="preserve">Planning </w:t>
      </w:r>
      <w:proofErr w:type="gramStart"/>
      <w:r w:rsidRPr="00F43C78">
        <w:rPr>
          <w:i/>
          <w:iCs/>
          <w:lang w:val="en-CA" w:eastAsia="ja-JP"/>
        </w:rPr>
        <w:t>Act</w:t>
      </w:r>
      <w:r w:rsidRPr="006C2EC1">
        <w:rPr>
          <w:lang w:val="en-CA" w:eastAsia="ja-JP"/>
        </w:rPr>
        <w:t>;</w:t>
      </w:r>
      <w:proofErr w:type="gramEnd"/>
    </w:p>
    <w:p w:rsidRPr="006C2EC1" w:rsidR="009F377B" w:rsidP="009F377B" w:rsidRDefault="009F377B" w14:paraId="184ADA8A" w14:textId="77777777">
      <w:pPr>
        <w:pStyle w:val="BodyText125"/>
        <w:numPr>
          <w:ilvl w:val="0"/>
          <w:numId w:val="10"/>
        </w:numPr>
        <w:rPr>
          <w:lang w:val="en-CA" w:eastAsia="ja-JP"/>
        </w:rPr>
      </w:pPr>
      <w:r w:rsidRPr="006C2EC1">
        <w:rPr>
          <w:lang w:val="en-CA" w:eastAsia="ja-JP"/>
        </w:rPr>
        <w:t xml:space="preserve">the approval of a minor variance under </w:t>
      </w:r>
      <w:r>
        <w:rPr>
          <w:lang w:val="en-CA" w:eastAsia="ja-JP"/>
        </w:rPr>
        <w:t>s</w:t>
      </w:r>
      <w:r w:rsidRPr="006C2EC1">
        <w:rPr>
          <w:lang w:val="en-CA" w:eastAsia="ja-JP"/>
        </w:rPr>
        <w:t xml:space="preserve">ection 45 of the </w:t>
      </w:r>
      <w:r w:rsidRPr="00F43C78">
        <w:rPr>
          <w:i/>
          <w:iCs/>
          <w:lang w:val="en-CA" w:eastAsia="ja-JP"/>
        </w:rPr>
        <w:t xml:space="preserve">Planning </w:t>
      </w:r>
      <w:proofErr w:type="gramStart"/>
      <w:r w:rsidRPr="00F43C78">
        <w:rPr>
          <w:i/>
          <w:iCs/>
          <w:lang w:val="en-CA" w:eastAsia="ja-JP"/>
        </w:rPr>
        <w:t>Act</w:t>
      </w:r>
      <w:r w:rsidRPr="006C2EC1">
        <w:rPr>
          <w:lang w:val="en-CA" w:eastAsia="ja-JP"/>
        </w:rPr>
        <w:t>;</w:t>
      </w:r>
      <w:proofErr w:type="gramEnd"/>
    </w:p>
    <w:p w:rsidRPr="006C2EC1" w:rsidR="009F377B" w:rsidP="009F377B" w:rsidRDefault="009F377B" w14:paraId="0AAEAB70" w14:textId="77777777">
      <w:pPr>
        <w:pStyle w:val="BodyText125"/>
        <w:numPr>
          <w:ilvl w:val="0"/>
          <w:numId w:val="10"/>
        </w:numPr>
        <w:rPr>
          <w:lang w:val="en-CA" w:eastAsia="ja-JP"/>
        </w:rPr>
      </w:pPr>
      <w:r w:rsidRPr="006C2EC1">
        <w:rPr>
          <w:lang w:val="en-CA" w:eastAsia="ja-JP"/>
        </w:rPr>
        <w:t>a conveyance of land to which a by-law passed under section 50</w:t>
      </w:r>
      <w:r>
        <w:rPr>
          <w:lang w:val="en-CA" w:eastAsia="ja-JP"/>
        </w:rPr>
        <w:t xml:space="preserve"> </w:t>
      </w:r>
      <w:r w:rsidRPr="006C2EC1">
        <w:rPr>
          <w:lang w:val="en-CA" w:eastAsia="ja-JP"/>
        </w:rPr>
        <w:t xml:space="preserve">(7) of the </w:t>
      </w:r>
      <w:r w:rsidRPr="00F43C78">
        <w:rPr>
          <w:i/>
          <w:iCs/>
          <w:lang w:val="en-CA" w:eastAsia="ja-JP"/>
        </w:rPr>
        <w:t>Planning Act</w:t>
      </w:r>
      <w:r w:rsidRPr="006C2EC1">
        <w:rPr>
          <w:lang w:val="en-CA" w:eastAsia="ja-JP"/>
        </w:rPr>
        <w:t xml:space="preserve"> </w:t>
      </w:r>
      <w:proofErr w:type="gramStart"/>
      <w:r w:rsidRPr="006C2EC1">
        <w:rPr>
          <w:lang w:val="en-CA" w:eastAsia="ja-JP"/>
        </w:rPr>
        <w:t>applies;</w:t>
      </w:r>
      <w:proofErr w:type="gramEnd"/>
    </w:p>
    <w:p w:rsidRPr="006C2EC1" w:rsidR="009F377B" w:rsidP="009F377B" w:rsidRDefault="009F377B" w14:paraId="69F3B037" w14:textId="77777777">
      <w:pPr>
        <w:pStyle w:val="BodyText125"/>
        <w:numPr>
          <w:ilvl w:val="0"/>
          <w:numId w:val="10"/>
        </w:numPr>
        <w:rPr>
          <w:lang w:val="en-CA" w:eastAsia="ja-JP"/>
        </w:rPr>
      </w:pPr>
      <w:r w:rsidRPr="006C2EC1">
        <w:rPr>
          <w:lang w:val="en-CA" w:eastAsia="ja-JP"/>
        </w:rPr>
        <w:t xml:space="preserve">the approval of a plan of subdivision under </w:t>
      </w:r>
      <w:r>
        <w:rPr>
          <w:lang w:val="en-CA" w:eastAsia="ja-JP"/>
        </w:rPr>
        <w:t>s</w:t>
      </w:r>
      <w:r w:rsidRPr="006C2EC1">
        <w:rPr>
          <w:lang w:val="en-CA" w:eastAsia="ja-JP"/>
        </w:rPr>
        <w:t xml:space="preserve">ection 51 of the </w:t>
      </w:r>
      <w:r w:rsidRPr="00F43C78">
        <w:rPr>
          <w:i/>
          <w:iCs/>
          <w:lang w:val="en-CA" w:eastAsia="ja-JP"/>
        </w:rPr>
        <w:t xml:space="preserve">Planning </w:t>
      </w:r>
      <w:proofErr w:type="gramStart"/>
      <w:r w:rsidRPr="00F43C78">
        <w:rPr>
          <w:i/>
          <w:iCs/>
          <w:lang w:val="en-CA" w:eastAsia="ja-JP"/>
        </w:rPr>
        <w:t>Act</w:t>
      </w:r>
      <w:r w:rsidRPr="006C2EC1">
        <w:rPr>
          <w:lang w:val="en-CA" w:eastAsia="ja-JP"/>
        </w:rPr>
        <w:t>;</w:t>
      </w:r>
      <w:proofErr w:type="gramEnd"/>
    </w:p>
    <w:p w:rsidRPr="006C2EC1" w:rsidR="009F377B" w:rsidP="009F377B" w:rsidRDefault="009F377B" w14:paraId="44BC2797" w14:textId="77777777">
      <w:pPr>
        <w:pStyle w:val="BodyText125"/>
        <w:numPr>
          <w:ilvl w:val="0"/>
          <w:numId w:val="10"/>
        </w:numPr>
        <w:rPr>
          <w:lang w:val="en-CA" w:eastAsia="ja-JP"/>
        </w:rPr>
      </w:pPr>
      <w:r w:rsidRPr="006C2EC1">
        <w:rPr>
          <w:lang w:val="en-CA" w:eastAsia="ja-JP"/>
        </w:rPr>
        <w:t xml:space="preserve">a consent under </w:t>
      </w:r>
      <w:r>
        <w:rPr>
          <w:lang w:val="en-CA" w:eastAsia="ja-JP"/>
        </w:rPr>
        <w:t>s</w:t>
      </w:r>
      <w:r w:rsidRPr="006C2EC1">
        <w:rPr>
          <w:lang w:val="en-CA" w:eastAsia="ja-JP"/>
        </w:rPr>
        <w:t xml:space="preserve">ection 53 of the </w:t>
      </w:r>
      <w:r w:rsidRPr="00F43C78">
        <w:rPr>
          <w:i/>
          <w:iCs/>
          <w:lang w:val="en-CA" w:eastAsia="ja-JP"/>
        </w:rPr>
        <w:t xml:space="preserve">Planning </w:t>
      </w:r>
      <w:proofErr w:type="gramStart"/>
      <w:r w:rsidRPr="00F43C78">
        <w:rPr>
          <w:i/>
          <w:iCs/>
          <w:lang w:val="en-CA" w:eastAsia="ja-JP"/>
        </w:rPr>
        <w:t>Act</w:t>
      </w:r>
      <w:r w:rsidRPr="006C2EC1">
        <w:rPr>
          <w:lang w:val="en-CA" w:eastAsia="ja-JP"/>
        </w:rPr>
        <w:t>;</w:t>
      </w:r>
      <w:proofErr w:type="gramEnd"/>
    </w:p>
    <w:p w:rsidRPr="006C2EC1" w:rsidR="009F377B" w:rsidP="009F377B" w:rsidRDefault="009F377B" w14:paraId="01479E22" w14:textId="77777777">
      <w:pPr>
        <w:pStyle w:val="BodyText125"/>
        <w:numPr>
          <w:ilvl w:val="0"/>
          <w:numId w:val="10"/>
        </w:numPr>
        <w:rPr>
          <w:lang w:val="en-CA" w:eastAsia="ja-JP"/>
        </w:rPr>
      </w:pPr>
      <w:r w:rsidRPr="006C2EC1">
        <w:rPr>
          <w:lang w:val="en-CA" w:eastAsia="ja-JP"/>
        </w:rPr>
        <w:t xml:space="preserve">the approval of a description under section 50 of the </w:t>
      </w:r>
      <w:r w:rsidRPr="00F43C78">
        <w:rPr>
          <w:i/>
          <w:iCs/>
          <w:lang w:val="en-CA" w:eastAsia="ja-JP"/>
        </w:rPr>
        <w:t xml:space="preserve">Condominium </w:t>
      </w:r>
      <w:proofErr w:type="gramStart"/>
      <w:r w:rsidRPr="00F43C78">
        <w:rPr>
          <w:i/>
          <w:iCs/>
          <w:lang w:val="en-CA" w:eastAsia="ja-JP"/>
        </w:rPr>
        <w:t>Act</w:t>
      </w:r>
      <w:r w:rsidRPr="006C2EC1">
        <w:rPr>
          <w:lang w:val="en-CA" w:eastAsia="ja-JP"/>
        </w:rPr>
        <w:t>;</w:t>
      </w:r>
      <w:proofErr w:type="gramEnd"/>
    </w:p>
    <w:p w:rsidR="009F377B" w:rsidP="009F377B" w:rsidRDefault="009F377B" w14:paraId="338A1C66" w14:textId="77777777">
      <w:pPr>
        <w:pStyle w:val="BodyText125"/>
        <w:numPr>
          <w:ilvl w:val="0"/>
          <w:numId w:val="10"/>
        </w:numPr>
        <w:rPr>
          <w:lang w:val="en-CA" w:eastAsia="ja-JP"/>
        </w:rPr>
      </w:pPr>
      <w:r w:rsidRPr="006C2EC1">
        <w:rPr>
          <w:lang w:val="en-CA" w:eastAsia="ja-JP"/>
        </w:rPr>
        <w:t xml:space="preserve">the issuing of a building permit under the </w:t>
      </w:r>
      <w:r w:rsidRPr="00F43C78">
        <w:rPr>
          <w:i/>
          <w:iCs/>
          <w:lang w:val="en-CA" w:eastAsia="ja-JP"/>
        </w:rPr>
        <w:t>Building Code Act</w:t>
      </w:r>
      <w:r w:rsidRPr="006C2EC1">
        <w:rPr>
          <w:lang w:val="en-CA" w:eastAsia="ja-JP"/>
        </w:rPr>
        <w:t xml:space="preserve"> in relation to a building</w:t>
      </w:r>
      <w:r>
        <w:rPr>
          <w:lang w:val="en-CA" w:eastAsia="ja-JP"/>
        </w:rPr>
        <w:t xml:space="preserve"> or structure.</w:t>
      </w:r>
    </w:p>
    <w:p w:rsidRPr="004C7F3B" w:rsidR="009F377B" w:rsidP="009F377B" w:rsidRDefault="009F377B" w14:paraId="547048AD" w14:textId="77777777">
      <w:pPr>
        <w:pStyle w:val="BoldHeading"/>
        <w:rPr>
          <w:lang w:val="en-CA"/>
        </w:rPr>
      </w:pPr>
      <w:r w:rsidRPr="004C7F3B">
        <w:rPr>
          <w:lang w:val="en-CA"/>
        </w:rPr>
        <w:t>Determination of the Amount of the Charge</w:t>
      </w:r>
    </w:p>
    <w:p w:rsidRPr="006C2EC1" w:rsidR="009F377B" w:rsidP="009F377B" w:rsidRDefault="009F377B" w14:paraId="72A0EF19" w14:textId="55F6A468">
      <w:pPr>
        <w:pStyle w:val="BodyText125"/>
        <w:rPr>
          <w:lang w:val="en-CA" w:eastAsia="ja-JP"/>
        </w:rPr>
      </w:pPr>
      <w:r>
        <w:rPr>
          <w:lang w:val="en-CA" w:eastAsia="ja-JP"/>
        </w:rPr>
        <w:t xml:space="preserve">The </w:t>
      </w:r>
      <w:r w:rsidRPr="006C2EC1">
        <w:rPr>
          <w:lang w:val="en-CA" w:eastAsia="ja-JP"/>
        </w:rPr>
        <w:t>calculation for residential development is generated on a per capita basis</w:t>
      </w:r>
      <w:r>
        <w:rPr>
          <w:lang w:val="en-CA" w:eastAsia="ja-JP"/>
        </w:rPr>
        <w:t xml:space="preserve"> </w:t>
      </w:r>
      <w:r w:rsidRPr="006C2EC1">
        <w:rPr>
          <w:lang w:val="en-CA" w:eastAsia="ja-JP"/>
        </w:rPr>
        <w:t xml:space="preserve">and </w:t>
      </w:r>
      <w:r>
        <w:rPr>
          <w:lang w:val="en-CA" w:eastAsia="ja-JP"/>
        </w:rPr>
        <w:t xml:space="preserve">is </w:t>
      </w:r>
      <w:r w:rsidRPr="006C2EC1">
        <w:rPr>
          <w:lang w:val="en-CA" w:eastAsia="ja-JP"/>
        </w:rPr>
        <w:t xml:space="preserve">based upon different forms of housing types (single and semi-detached, </w:t>
      </w:r>
      <w:r>
        <w:rPr>
          <w:lang w:val="en-CA" w:eastAsia="ja-JP"/>
        </w:rPr>
        <w:t xml:space="preserve">multiples, </w:t>
      </w:r>
      <w:r w:rsidRPr="006C2EC1">
        <w:rPr>
          <w:lang w:val="en-CA" w:eastAsia="ja-JP"/>
        </w:rPr>
        <w:t xml:space="preserve">apartments with two or more bedrooms, one-bedroom apartments and bachelors, and </w:t>
      </w:r>
      <w:r>
        <w:rPr>
          <w:lang w:val="en-CA" w:eastAsia="ja-JP"/>
        </w:rPr>
        <w:t>special care/special dwelling units</w:t>
      </w:r>
      <w:r w:rsidRPr="006C2EC1">
        <w:rPr>
          <w:lang w:val="en-CA" w:eastAsia="ja-JP"/>
        </w:rPr>
        <w:t xml:space="preserve">).  The total cost is divided by the “gross” (new resident) population to determine the per capita amount.  The eligible D.C. cost calculations are based on the net anticipated population increase (the forecast new unit population less the anticipated decline in existing units).  This approach acknowledges that service capacity will be “freed up” by the population decline in existing units.  The </w:t>
      </w:r>
      <w:r w:rsidRPr="006C2EC1">
        <w:rPr>
          <w:lang w:val="en-CA" w:eastAsia="ja-JP"/>
        </w:rPr>
        <w:t>cost per capita is then multiplied by the average occupancy of the new units to calculate the charges by type of residential dwelling unit.</w:t>
      </w:r>
    </w:p>
    <w:p w:rsidR="009F377B" w:rsidP="009F377B" w:rsidRDefault="009F377B" w14:paraId="230176F0" w14:textId="20A26A79">
      <w:pPr>
        <w:pStyle w:val="BodyText125"/>
        <w:rPr>
          <w:lang w:val="en-CA" w:eastAsia="ja-JP"/>
        </w:rPr>
      </w:pPr>
      <w:r w:rsidRPr="006C2EC1">
        <w:rPr>
          <w:lang w:val="en-CA" w:eastAsia="ja-JP"/>
        </w:rPr>
        <w:t xml:space="preserve">The non-residential D.C. has been calculated based on a per square </w:t>
      </w:r>
      <w:r w:rsidR="00F15B88">
        <w:rPr>
          <w:lang w:val="en-CA" w:eastAsia="ja-JP"/>
        </w:rPr>
        <w:t>metre</w:t>
      </w:r>
      <w:r w:rsidRPr="006C2EC1" w:rsidR="00F15B88">
        <w:rPr>
          <w:lang w:val="en-CA" w:eastAsia="ja-JP"/>
        </w:rPr>
        <w:t xml:space="preserve"> </w:t>
      </w:r>
      <w:r w:rsidRPr="006C2EC1">
        <w:rPr>
          <w:lang w:val="en-CA" w:eastAsia="ja-JP"/>
        </w:rPr>
        <w:t>of gross floor area basis</w:t>
      </w:r>
      <w:r>
        <w:rPr>
          <w:lang w:val="en-CA" w:eastAsia="ja-JP"/>
        </w:rPr>
        <w:t>.</w:t>
      </w:r>
    </w:p>
    <w:p w:rsidRPr="004C7F3B" w:rsidR="009F377B" w:rsidP="009F377B" w:rsidRDefault="009F377B" w14:paraId="0A3C9B8C" w14:textId="77777777">
      <w:pPr>
        <w:pStyle w:val="BoldHeading"/>
        <w:rPr>
          <w:lang w:val="en-CA"/>
        </w:rPr>
      </w:pPr>
      <w:r>
        <w:rPr>
          <w:lang w:val="en-CA"/>
        </w:rPr>
        <w:t>Reduction of Development Charges for Redevelopment</w:t>
      </w:r>
    </w:p>
    <w:p w:rsidRPr="00675D26" w:rsidR="006C1673" w:rsidP="000776CE" w:rsidRDefault="006C1673" w14:paraId="0DDB917C" w14:textId="77777777">
      <w:pPr>
        <w:pStyle w:val="BodyText125"/>
        <w:rPr>
          <w:lang w:val="en-CA"/>
        </w:rPr>
      </w:pPr>
      <w:r w:rsidRPr="00675D26">
        <w:rPr>
          <w:lang w:val="en-CA"/>
        </w:rPr>
        <w:t>Where a D.C. is payable for a development which replaces a pre-existing development including a change of use in an existing building, a redevelopment allowance shall be credited against the D.C. otherwise payable.</w:t>
      </w:r>
    </w:p>
    <w:p w:rsidRPr="00675D26" w:rsidR="006C1673" w:rsidP="000776CE" w:rsidRDefault="006C1673" w14:paraId="3B68F1C7" w14:textId="3EA19F2B">
      <w:pPr>
        <w:pStyle w:val="BodyText125"/>
        <w:rPr>
          <w:lang w:val="en-CA"/>
        </w:rPr>
      </w:pPr>
      <w:proofErr w:type="gramStart"/>
      <w:r w:rsidRPr="00675D26">
        <w:rPr>
          <w:lang w:val="en-CA"/>
        </w:rPr>
        <w:t>In order to</w:t>
      </w:r>
      <w:proofErr w:type="gramEnd"/>
      <w:r w:rsidRPr="00675D26">
        <w:rPr>
          <w:lang w:val="en-CA"/>
        </w:rPr>
        <w:t xml:space="preserve"> be eligible for a redevelopment allowance:</w:t>
      </w:r>
    </w:p>
    <w:p w:rsidRPr="00675D26" w:rsidR="006C1673" w:rsidP="000776CE" w:rsidRDefault="006C1673" w14:paraId="441044D2" w14:textId="77777777">
      <w:pPr>
        <w:pStyle w:val="BodyText125"/>
        <w:numPr>
          <w:ilvl w:val="0"/>
          <w:numId w:val="26"/>
        </w:numPr>
        <w:rPr>
          <w:lang w:val="en-CA"/>
        </w:rPr>
      </w:pPr>
      <w:r w:rsidRPr="00675D26">
        <w:rPr>
          <w:lang w:val="en-CA"/>
        </w:rPr>
        <w:t>The pre-existing development must be one in respect to which a valid demolition permit or demolition control permit was issued by the City within the five (5) years, related to a residential use or ten (10) years, for a non-residential use, preceding the due date of payment of the D.C. and such demolition permit, demolition control permit or a certified copy thereof; and</w:t>
      </w:r>
    </w:p>
    <w:p w:rsidRPr="00675D26" w:rsidR="006C1673" w:rsidP="000776CE" w:rsidRDefault="006C1673" w14:paraId="3F2D0AD9" w14:textId="77777777">
      <w:pPr>
        <w:pStyle w:val="BodyText125"/>
        <w:numPr>
          <w:ilvl w:val="0"/>
          <w:numId w:val="26"/>
        </w:numPr>
        <w:rPr>
          <w:lang w:val="en-CA"/>
        </w:rPr>
      </w:pPr>
      <w:r w:rsidRPr="00675D26">
        <w:rPr>
          <w:lang w:val="en-CA"/>
        </w:rPr>
        <w:t>Proof must be provided to the Chief Building Official’s satisfaction that the development meets the requirements set out in the by-laws.</w:t>
      </w:r>
    </w:p>
    <w:p w:rsidRPr="00675D26" w:rsidR="006C1673" w:rsidP="000776CE" w:rsidRDefault="006C1673" w14:paraId="3E060983" w14:textId="77777777">
      <w:pPr>
        <w:pStyle w:val="BodyText125"/>
        <w:numPr>
          <w:ilvl w:val="0"/>
          <w:numId w:val="26"/>
        </w:numPr>
        <w:rPr>
          <w:lang w:val="en-CA"/>
        </w:rPr>
      </w:pPr>
      <w:r w:rsidRPr="00675D26">
        <w:rPr>
          <w:lang w:val="en-CA"/>
        </w:rPr>
        <w:t>In situations where buildings are destroyed by fire or other unplanned events, sections items a) and b) apply upon proof satisfactory to the City’s Chief Building Official if there was not an issued demolition permit.</w:t>
      </w:r>
    </w:p>
    <w:p w:rsidRPr="00430DCA" w:rsidR="006C1673" w:rsidP="000776CE" w:rsidRDefault="006C1673" w14:paraId="08A7C8E6" w14:textId="04F09BB6">
      <w:pPr>
        <w:pStyle w:val="BodyText125"/>
        <w:rPr>
          <w:lang w:val="en-CA"/>
        </w:rPr>
      </w:pPr>
      <w:r w:rsidRPr="00430DCA">
        <w:rPr>
          <w:lang w:val="en-CA"/>
        </w:rPr>
        <w:t xml:space="preserve">If the land is engaged in a brownfield redevelopment, a redevelopment period longer than the time set out in item a) above may be provided based upon the approval by the City’s Deputy City Manager of Community Development or designate in consultation </w:t>
      </w:r>
      <w:r w:rsidR="00675D26">
        <w:rPr>
          <w:lang w:val="en-CA"/>
        </w:rPr>
        <w:t>w</w:t>
      </w:r>
      <w:r w:rsidRPr="00430DCA">
        <w:rPr>
          <w:lang w:val="en-CA"/>
        </w:rPr>
        <w:t>ith the Chief Building Official, and applicable Regional Commissioner after consideration of specific development circumstances.</w:t>
      </w:r>
    </w:p>
    <w:p w:rsidRPr="00430DCA" w:rsidR="006C1673" w:rsidP="000776CE" w:rsidRDefault="006C1673" w14:paraId="27D2DF05" w14:textId="77777777">
      <w:pPr>
        <w:pStyle w:val="BodyText125"/>
        <w:rPr>
          <w:lang w:val="en-CA"/>
        </w:rPr>
      </w:pPr>
      <w:r w:rsidRPr="00430DCA">
        <w:rPr>
          <w:lang w:val="en-CA"/>
        </w:rPr>
        <w:t>In determining eligibility for a re-development allowance:</w:t>
      </w:r>
    </w:p>
    <w:p w:rsidRPr="00430DCA" w:rsidR="006C1673" w:rsidP="000776CE" w:rsidRDefault="006C1673" w14:paraId="5FC296E2" w14:textId="77777777">
      <w:pPr>
        <w:pStyle w:val="BodyText125"/>
        <w:numPr>
          <w:ilvl w:val="0"/>
          <w:numId w:val="27"/>
        </w:numPr>
        <w:rPr>
          <w:lang w:val="en-CA"/>
        </w:rPr>
      </w:pPr>
      <w:r w:rsidRPr="00430DCA">
        <w:rPr>
          <w:lang w:val="en-CA"/>
        </w:rPr>
        <w:t xml:space="preserve">Demolition shall be deemed to have occurred on the date of the issuance of the demolition permit or demolition control </w:t>
      </w:r>
      <w:proofErr w:type="gramStart"/>
      <w:r w:rsidRPr="00430DCA">
        <w:rPr>
          <w:lang w:val="en-CA"/>
        </w:rPr>
        <w:t>permit;</w:t>
      </w:r>
      <w:proofErr w:type="gramEnd"/>
    </w:p>
    <w:p w:rsidRPr="00430DCA" w:rsidR="006C1673" w:rsidP="000776CE" w:rsidRDefault="006C1673" w14:paraId="472354A9" w14:textId="50360DB3">
      <w:pPr>
        <w:pStyle w:val="BodyText125"/>
        <w:numPr>
          <w:ilvl w:val="0"/>
          <w:numId w:val="27"/>
        </w:numPr>
        <w:rPr>
          <w:lang w:val="en-CA"/>
        </w:rPr>
      </w:pPr>
      <w:r w:rsidRPr="00430DCA">
        <w:rPr>
          <w:lang w:val="en-CA"/>
        </w:rPr>
        <w:t>“</w:t>
      </w:r>
      <w:proofErr w:type="gramStart"/>
      <w:r w:rsidRPr="00430DCA">
        <w:rPr>
          <w:lang w:val="en-CA"/>
        </w:rPr>
        <w:t>demolition</w:t>
      </w:r>
      <w:proofErr w:type="gramEnd"/>
      <w:r w:rsidRPr="00430DCA">
        <w:rPr>
          <w:lang w:val="en-CA"/>
        </w:rPr>
        <w:t xml:space="preserve"> permit” or “demolition control permit” shall mean the first of any demolition permits or demolition control permits issued for the pre-existing </w:t>
      </w:r>
      <w:r w:rsidRPr="00430DCA">
        <w:rPr>
          <w:lang w:val="en-CA"/>
        </w:rPr>
        <w:t>development, if the demolition has taken place in more than one phase.  Subsequent demolition permits or demolition control permits for that pre-existing development are not to be used in a calculation of the periods set out above; and</w:t>
      </w:r>
    </w:p>
    <w:p w:rsidRPr="00430DCA" w:rsidR="006C1673" w:rsidP="000776CE" w:rsidRDefault="006C1673" w14:paraId="3173BB33" w14:textId="023EDA42">
      <w:pPr>
        <w:pStyle w:val="BodyText125"/>
        <w:numPr>
          <w:ilvl w:val="0"/>
          <w:numId w:val="27"/>
        </w:numPr>
        <w:rPr>
          <w:lang w:val="en-CA"/>
        </w:rPr>
      </w:pPr>
      <w:r w:rsidRPr="00430DCA">
        <w:rPr>
          <w:lang w:val="en-CA"/>
        </w:rPr>
        <w:t>The date calculated above shall apply regardless of whether the first demolition permit or demolition control permit was revoked or cancelled.</w:t>
      </w:r>
    </w:p>
    <w:p w:rsidRPr="000776CE" w:rsidR="006C1673" w:rsidP="006C1673" w:rsidRDefault="006C1673" w14:paraId="3FE16B45" w14:textId="612736B3">
      <w:pPr>
        <w:pStyle w:val="BoldHeading"/>
        <w:rPr>
          <w:b w:val="0"/>
          <w:i/>
          <w:iCs/>
          <w:lang w:val="en-CA"/>
        </w:rPr>
      </w:pPr>
      <w:r w:rsidRPr="000776CE">
        <w:rPr>
          <w:b w:val="0"/>
          <w:i/>
          <w:iCs/>
          <w:lang w:val="en-CA"/>
        </w:rPr>
        <w:t>Calculation of Redevelopment Allowance</w:t>
      </w:r>
    </w:p>
    <w:p w:rsidRPr="00430DCA" w:rsidR="006C1673" w:rsidP="000776CE" w:rsidRDefault="006C1673" w14:paraId="45DD0471" w14:textId="6A54E910">
      <w:pPr>
        <w:pStyle w:val="BodyText125"/>
        <w:rPr>
          <w:lang w:val="en-CA"/>
        </w:rPr>
      </w:pPr>
      <w:r w:rsidRPr="00430DCA">
        <w:rPr>
          <w:lang w:val="en-CA"/>
        </w:rPr>
        <w:t>In determining the amount of any redevelopment allowance to be applied in calculating a D.C. payable, the following shall apply:</w:t>
      </w:r>
    </w:p>
    <w:p w:rsidRPr="00430DCA" w:rsidR="006C1673" w:rsidP="000776CE" w:rsidRDefault="006C1673" w14:paraId="4B003CBD" w14:textId="4EE950D7">
      <w:pPr>
        <w:pStyle w:val="BodyText125"/>
        <w:numPr>
          <w:ilvl w:val="0"/>
          <w:numId w:val="28"/>
        </w:numPr>
        <w:rPr>
          <w:lang w:val="en-CA"/>
        </w:rPr>
      </w:pPr>
      <w:r w:rsidRPr="00430DCA">
        <w:rPr>
          <w:lang w:val="en-CA"/>
        </w:rPr>
        <w:t xml:space="preserve">The </w:t>
      </w:r>
      <w:r>
        <w:rPr>
          <w:lang w:val="en-CA"/>
        </w:rPr>
        <w:t>redevelopment</w:t>
      </w:r>
      <w:r w:rsidRPr="00430DCA">
        <w:rPr>
          <w:lang w:val="en-CA"/>
        </w:rPr>
        <w:t xml:space="preserve"> allowance quantified in accordance with the by-laws shall apply to the whole parcel of land on which the pre-existing development exists or </w:t>
      </w:r>
      <w:proofErr w:type="gramStart"/>
      <w:r w:rsidRPr="00430DCA">
        <w:rPr>
          <w:lang w:val="en-CA"/>
        </w:rPr>
        <w:t>existed;</w:t>
      </w:r>
      <w:proofErr w:type="gramEnd"/>
    </w:p>
    <w:p w:rsidRPr="00430DCA" w:rsidR="006C1673" w:rsidP="000776CE" w:rsidRDefault="006C1673" w14:paraId="632708C2" w14:textId="490C826A">
      <w:pPr>
        <w:pStyle w:val="BodyText125"/>
        <w:numPr>
          <w:ilvl w:val="0"/>
          <w:numId w:val="28"/>
        </w:numPr>
        <w:rPr>
          <w:lang w:val="en-CA"/>
        </w:rPr>
      </w:pPr>
      <w:r w:rsidRPr="00430DCA">
        <w:rPr>
          <w:lang w:val="en-CA"/>
        </w:rPr>
        <w:t xml:space="preserve">Any remaining </w:t>
      </w:r>
      <w:r>
        <w:rPr>
          <w:lang w:val="en-CA"/>
        </w:rPr>
        <w:t>redevelopment</w:t>
      </w:r>
      <w:r w:rsidRPr="00430DCA">
        <w:rPr>
          <w:lang w:val="en-CA"/>
        </w:rPr>
        <w:t xml:space="preserve"> allowance applicable to a parcel of land from time to time, in the event of a division of the parcel of land into two or more parcels, shall be apportioned equally between or amongst the resultant parcels of land on a per unit area </w:t>
      </w:r>
      <w:proofErr w:type="gramStart"/>
      <w:r w:rsidRPr="00430DCA">
        <w:rPr>
          <w:lang w:val="en-CA"/>
        </w:rPr>
        <w:t>basis;</w:t>
      </w:r>
      <w:proofErr w:type="gramEnd"/>
    </w:p>
    <w:p w:rsidRPr="00430DCA" w:rsidR="006C1673" w:rsidP="000776CE" w:rsidRDefault="006C1673" w14:paraId="6B87DC1B" w14:textId="77777777">
      <w:pPr>
        <w:pStyle w:val="BodyText125"/>
        <w:numPr>
          <w:ilvl w:val="0"/>
          <w:numId w:val="28"/>
        </w:numPr>
        <w:rPr>
          <w:lang w:val="en-CA"/>
        </w:rPr>
      </w:pPr>
      <w:r w:rsidRPr="00430DCA">
        <w:rPr>
          <w:lang w:val="en-CA"/>
        </w:rPr>
        <w:t>The amount of the re-development allowance applicable to a parcel of land on which the pre-existing development existed or to any part of thereof after any land division shall be reduced for each subsequent development in respect of which the D.C. otherwise payable is or has been reduced by a re-development allowance, as building permits for such subsequent developments are issued or D.C. Paid, whichever first occurs.</w:t>
      </w:r>
    </w:p>
    <w:p w:rsidRPr="000776CE" w:rsidR="006C1673" w:rsidP="006C1673" w:rsidRDefault="006C1673" w14:paraId="5613EBA6" w14:textId="24C23D63">
      <w:pPr>
        <w:pStyle w:val="BoldHeading"/>
        <w:rPr>
          <w:b w:val="0"/>
          <w:i/>
          <w:iCs/>
          <w:lang w:val="en-CA"/>
        </w:rPr>
      </w:pPr>
      <w:r w:rsidRPr="000776CE">
        <w:rPr>
          <w:b w:val="0"/>
          <w:i/>
          <w:iCs/>
          <w:lang w:val="en-CA"/>
        </w:rPr>
        <w:t>Amount of Redevelopment Allowance</w:t>
      </w:r>
    </w:p>
    <w:p w:rsidRPr="00430DCA" w:rsidR="006C1673" w:rsidP="000776CE" w:rsidRDefault="006C1673" w14:paraId="55441240" w14:textId="77777777">
      <w:pPr>
        <w:pStyle w:val="BodyText125"/>
        <w:rPr>
          <w:lang w:val="en-CA"/>
        </w:rPr>
      </w:pPr>
      <w:r w:rsidRPr="00430DCA">
        <w:rPr>
          <w:lang w:val="en-CA"/>
        </w:rPr>
        <w:t>The amount of the re-development allowance shall be computed based upon the previous land use equal to:</w:t>
      </w:r>
    </w:p>
    <w:p w:rsidRPr="00430DCA" w:rsidR="006C1673" w:rsidP="000776CE" w:rsidRDefault="006C1673" w14:paraId="2F7CFE03" w14:textId="77777777">
      <w:pPr>
        <w:pStyle w:val="BodyText125"/>
        <w:numPr>
          <w:ilvl w:val="0"/>
          <w:numId w:val="29"/>
        </w:numPr>
        <w:rPr>
          <w:lang w:val="en-CA"/>
        </w:rPr>
      </w:pPr>
      <w:r w:rsidRPr="00430DCA">
        <w:rPr>
          <w:lang w:val="en-CA"/>
        </w:rPr>
        <w:t>For residential uses, the number and type or types of units in the preexisting development multiplied by the D.C. rate or rates applicable to such units; and,</w:t>
      </w:r>
    </w:p>
    <w:p w:rsidRPr="00430DCA" w:rsidR="006C1673" w:rsidP="000776CE" w:rsidRDefault="006C1673" w14:paraId="69298DFB" w14:textId="77777777">
      <w:pPr>
        <w:pStyle w:val="BodyText125"/>
        <w:numPr>
          <w:ilvl w:val="0"/>
          <w:numId w:val="29"/>
        </w:numPr>
        <w:rPr>
          <w:lang w:val="en-CA"/>
        </w:rPr>
      </w:pPr>
      <w:r w:rsidRPr="00430DCA">
        <w:rPr>
          <w:lang w:val="en-CA"/>
        </w:rPr>
        <w:t>For non-residential uses, the number of square meters of building area of the pre-existing development multiplied by the D.C. rate applicable to such building area.</w:t>
      </w:r>
    </w:p>
    <w:p w:rsidRPr="000776CE" w:rsidR="006C1673" w:rsidP="006C1673" w:rsidRDefault="006C1673" w14:paraId="7A38CEAA" w14:textId="32231F2D">
      <w:pPr>
        <w:pStyle w:val="BoldHeading"/>
        <w:rPr>
          <w:b w:val="0"/>
          <w:i/>
          <w:iCs/>
          <w:lang w:val="en-CA"/>
        </w:rPr>
      </w:pPr>
      <w:r w:rsidRPr="000776CE">
        <w:rPr>
          <w:b w:val="0"/>
          <w:i/>
          <w:iCs/>
          <w:lang w:val="en-CA"/>
        </w:rPr>
        <w:t>Maximum Redevelopment Allowance and Carry Forward</w:t>
      </w:r>
    </w:p>
    <w:p w:rsidRPr="000776CE" w:rsidR="006C1673" w:rsidP="00473E5D" w:rsidRDefault="006C1673" w14:paraId="705D52F4" w14:textId="77B4562C">
      <w:pPr>
        <w:pStyle w:val="BodyText125"/>
      </w:pPr>
      <w:r w:rsidRPr="000776CE">
        <w:t xml:space="preserve">The maximum redevelopment allowance shall be the D.C. otherwise payable.  Any unused redevelopment allowance may be carried forward and applied to any subsequent D.C. payable in respect of the same land to which it relates within five (5) years from the date of demolition of the pre-existing development to which it relates.   </w:t>
      </w:r>
    </w:p>
    <w:p w:rsidRPr="004C7F3B" w:rsidR="009F377B" w:rsidP="009F377B" w:rsidRDefault="009F377B" w14:paraId="1DF92ED0" w14:textId="77777777">
      <w:pPr>
        <w:pStyle w:val="BoldHeading"/>
        <w:rPr>
          <w:lang w:val="en-CA"/>
        </w:rPr>
      </w:pPr>
      <w:r w:rsidRPr="004C7F3B">
        <w:rPr>
          <w:lang w:val="en-CA"/>
        </w:rPr>
        <w:t>Exemptions (full or partial)</w:t>
      </w:r>
    </w:p>
    <w:p w:rsidR="009F377B" w:rsidP="009F377B" w:rsidRDefault="009F377B" w14:paraId="7B85A7C4" w14:textId="77777777">
      <w:pPr>
        <w:pStyle w:val="BodyText125"/>
        <w:rPr>
          <w:lang w:val="en-CA" w:eastAsia="ja-JP"/>
        </w:rPr>
      </w:pPr>
      <w:r>
        <w:rPr>
          <w:lang w:val="en-CA" w:eastAsia="ja-JP"/>
        </w:rPr>
        <w:t>The following are exempted from D.C.s:</w:t>
      </w:r>
    </w:p>
    <w:p w:rsidRPr="00580BC8" w:rsidR="009F377B" w:rsidP="009F377B" w:rsidRDefault="009F377B" w14:paraId="263FB850" w14:textId="77777777">
      <w:pPr>
        <w:pStyle w:val="BodyTextbullets125"/>
      </w:pPr>
      <w:r w:rsidRPr="00580BC8">
        <w:t>Statutory exemptions:</w:t>
      </w:r>
    </w:p>
    <w:p w:rsidRPr="007830E1" w:rsidR="009F377B" w:rsidP="009F377B" w:rsidRDefault="009F377B" w14:paraId="3671E7FD" w14:textId="39A1D8C5">
      <w:pPr>
        <w:pStyle w:val="BodyTextbullets125"/>
        <w:numPr>
          <w:ilvl w:val="1"/>
          <w:numId w:val="1"/>
        </w:numPr>
      </w:pPr>
      <w:r w:rsidRPr="007830E1">
        <w:t>industrial building additions of up to and including 50% of the existing G.F.A. (defined in O. Reg. 82/98, section 1) of the building; for industrial building additions that exceed 50% of the existing G.F.A., only the portion of the addition in excess of 50% is subject to D.C.s (subsection 4 (3) of the D.C.A.);</w:t>
      </w:r>
    </w:p>
    <w:p w:rsidRPr="007830E1" w:rsidR="009F377B" w:rsidP="009F377B" w:rsidRDefault="009F377B" w14:paraId="4ADDA1A3" w14:textId="77777777">
      <w:pPr>
        <w:pStyle w:val="BodyTextbullets125"/>
        <w:numPr>
          <w:ilvl w:val="1"/>
          <w:numId w:val="1"/>
        </w:numPr>
      </w:pPr>
      <w:r w:rsidRPr="007830E1">
        <w:t>buildings or structures owned by and used for the purposes of any municipality, local board, or Board of Education (section 3</w:t>
      </w:r>
      <w:proofErr w:type="gramStart"/>
      <w:r w:rsidRPr="007830E1">
        <w:t>);</w:t>
      </w:r>
      <w:proofErr w:type="gramEnd"/>
    </w:p>
    <w:p w:rsidRPr="007830E1" w:rsidR="009F377B" w:rsidP="009F377B" w:rsidRDefault="009F377B" w14:paraId="338EC40E" w14:textId="77777777">
      <w:pPr>
        <w:pStyle w:val="BodyTextbullets125"/>
        <w:numPr>
          <w:ilvl w:val="1"/>
          <w:numId w:val="1"/>
        </w:numPr>
      </w:pPr>
      <w:r w:rsidRPr="007830E1">
        <w:t>may add up to 2 apartments in an existing or new detached, semi-detached, or rowhouse (including in an ancillary structure</w:t>
      </w:r>
      <w:proofErr w:type="gramStart"/>
      <w:r w:rsidRPr="007830E1">
        <w:t>);</w:t>
      </w:r>
      <w:proofErr w:type="gramEnd"/>
    </w:p>
    <w:p w:rsidRPr="007830E1" w:rsidR="009F377B" w:rsidP="009F377B" w:rsidRDefault="009F377B" w14:paraId="07041EC3" w14:textId="77777777">
      <w:pPr>
        <w:pStyle w:val="BodyTextbullets125"/>
        <w:numPr>
          <w:ilvl w:val="1"/>
          <w:numId w:val="1"/>
        </w:numPr>
      </w:pPr>
      <w:r w:rsidRPr="007830E1">
        <w:t xml:space="preserve">add one additional unit or 1% of existing units in an existing rental residential </w:t>
      </w:r>
      <w:proofErr w:type="gramStart"/>
      <w:r w:rsidRPr="007830E1">
        <w:t>building;</w:t>
      </w:r>
      <w:proofErr w:type="gramEnd"/>
    </w:p>
    <w:p w:rsidRPr="007830E1" w:rsidR="009F377B" w:rsidP="009F377B" w:rsidRDefault="009F377B" w14:paraId="441CD1DE" w14:textId="77777777">
      <w:pPr>
        <w:pStyle w:val="BodyTextbullets125"/>
        <w:numPr>
          <w:ilvl w:val="1"/>
          <w:numId w:val="1"/>
        </w:numPr>
      </w:pPr>
      <w:r w:rsidRPr="007830E1">
        <w:t xml:space="preserve">a university in Ontario that receives direct, regular, and ongoing operating funding from the Government of </w:t>
      </w:r>
      <w:proofErr w:type="gramStart"/>
      <w:r w:rsidRPr="007830E1">
        <w:t>Ontario;</w:t>
      </w:r>
      <w:proofErr w:type="gramEnd"/>
    </w:p>
    <w:p w:rsidR="009F377B" w:rsidP="009F377B" w:rsidRDefault="009F377B" w14:paraId="6ABF315F" w14:textId="77777777">
      <w:pPr>
        <w:pStyle w:val="BodyTextbullets125"/>
        <w:numPr>
          <w:ilvl w:val="1"/>
          <w:numId w:val="1"/>
        </w:numPr>
      </w:pPr>
      <w:r w:rsidRPr="009F377B">
        <w:t xml:space="preserve">affordable </w:t>
      </w:r>
      <w:proofErr w:type="gramStart"/>
      <w:r w:rsidRPr="009F377B">
        <w:t>units</w:t>
      </w:r>
      <w:r>
        <w:t>;</w:t>
      </w:r>
      <w:proofErr w:type="gramEnd"/>
    </w:p>
    <w:p w:rsidR="009F377B" w:rsidP="009F377B" w:rsidRDefault="009F377B" w14:paraId="2E3966E4" w14:textId="77777777">
      <w:pPr>
        <w:pStyle w:val="BodyTextbullets125"/>
        <w:numPr>
          <w:ilvl w:val="1"/>
          <w:numId w:val="1"/>
        </w:numPr>
      </w:pPr>
      <w:r w:rsidRPr="009F377B">
        <w:t xml:space="preserve">affordable inclusionary zoning </w:t>
      </w:r>
      <w:proofErr w:type="gramStart"/>
      <w:r w:rsidRPr="009F377B">
        <w:t>units</w:t>
      </w:r>
      <w:r>
        <w:t>;</w:t>
      </w:r>
      <w:proofErr w:type="gramEnd"/>
    </w:p>
    <w:p w:rsidRPr="009F377B" w:rsidR="009F377B" w:rsidP="009F377B" w:rsidRDefault="009F377B" w14:paraId="20ABFFE0" w14:textId="1FD8F6A6">
      <w:pPr>
        <w:pStyle w:val="BodyTextbullets125"/>
        <w:numPr>
          <w:ilvl w:val="1"/>
          <w:numId w:val="1"/>
        </w:numPr>
      </w:pPr>
      <w:r>
        <w:t>attainable units</w:t>
      </w:r>
      <w:r w:rsidRPr="009F377B">
        <w:t xml:space="preserve"> (to be in force at a later date</w:t>
      </w:r>
      <w:proofErr w:type="gramStart"/>
      <w:r w:rsidRPr="009F377B">
        <w:t>);</w:t>
      </w:r>
      <w:proofErr w:type="gramEnd"/>
    </w:p>
    <w:p w:rsidRPr="009F377B" w:rsidR="009F377B" w:rsidP="009F377B" w:rsidRDefault="009F377B" w14:paraId="01840022" w14:textId="77777777">
      <w:pPr>
        <w:pStyle w:val="BodyTextbullets125"/>
        <w:numPr>
          <w:ilvl w:val="1"/>
          <w:numId w:val="1"/>
        </w:numPr>
      </w:pPr>
      <w:r w:rsidRPr="009F377B">
        <w:t>non-profit housing; and</w:t>
      </w:r>
    </w:p>
    <w:p w:rsidRPr="009F377B" w:rsidR="009F377B" w:rsidP="009F377B" w:rsidRDefault="009F377B" w14:paraId="4005BDF7" w14:textId="77777777">
      <w:pPr>
        <w:pStyle w:val="BodyTextbullets125"/>
        <w:numPr>
          <w:ilvl w:val="1"/>
          <w:numId w:val="1"/>
        </w:numPr>
      </w:pPr>
      <w:r w:rsidRPr="009F377B">
        <w:t>discount for rental housing units based on bedroom size (i.e. three or more bedrooms – 25% reduction, two bedrooms – 20% reduction, and all others – 15% reduction).</w:t>
      </w:r>
    </w:p>
    <w:p w:rsidRPr="00386D1F" w:rsidR="009F377B" w:rsidP="009F377B" w:rsidRDefault="009F377B" w14:paraId="5D6C5CD6" w14:textId="77777777">
      <w:pPr>
        <w:pStyle w:val="BodyTextbullets125"/>
        <w:numPr>
          <w:ilvl w:val="0"/>
          <w:numId w:val="9"/>
        </w:numPr>
        <w:rPr>
          <w:lang w:val="en-CA" w:eastAsia="ja-JP"/>
        </w:rPr>
      </w:pPr>
      <w:r>
        <w:rPr>
          <w:lang w:val="en-CA" w:eastAsia="ja-JP"/>
        </w:rPr>
        <w:t>Non-statutory</w:t>
      </w:r>
      <w:r w:rsidRPr="00386D1F">
        <w:rPr>
          <w:lang w:val="en-CA" w:eastAsia="ja-JP"/>
        </w:rPr>
        <w:t xml:space="preserve"> exemptions</w:t>
      </w:r>
    </w:p>
    <w:p w:rsidR="008135A4" w:rsidP="00473E5D" w:rsidRDefault="008135A4" w14:paraId="1CDCBAF5" w14:textId="77777777">
      <w:pPr>
        <w:pStyle w:val="BodyTextbullets125"/>
        <w:numPr>
          <w:ilvl w:val="1"/>
          <w:numId w:val="1"/>
        </w:numPr>
      </w:pPr>
      <w:r>
        <w:t xml:space="preserve">Hospitals within the meaning of the Public Hospitals Act, R.S.O. 1990, c.P.40, as </w:t>
      </w:r>
      <w:proofErr w:type="gramStart"/>
      <w:r>
        <w:t>amended;</w:t>
      </w:r>
      <w:proofErr w:type="gramEnd"/>
    </w:p>
    <w:p w:rsidR="008135A4" w:rsidP="00473E5D" w:rsidRDefault="008135A4" w14:paraId="5AFD0804" w14:textId="77777777">
      <w:pPr>
        <w:pStyle w:val="BodyTextbullets125"/>
        <w:numPr>
          <w:ilvl w:val="1"/>
          <w:numId w:val="1"/>
        </w:numPr>
      </w:pPr>
      <w:r>
        <w:t xml:space="preserve">Grand River Conservation </w:t>
      </w:r>
      <w:proofErr w:type="gramStart"/>
      <w:r>
        <w:t>Area;</w:t>
      </w:r>
      <w:proofErr w:type="gramEnd"/>
    </w:p>
    <w:p w:rsidR="008135A4" w:rsidP="00473E5D" w:rsidRDefault="008135A4" w14:paraId="38297871" w14:textId="77777777">
      <w:pPr>
        <w:pStyle w:val="BodyTextbullets125"/>
        <w:numPr>
          <w:ilvl w:val="1"/>
          <w:numId w:val="1"/>
        </w:numPr>
      </w:pPr>
      <w:r>
        <w:t xml:space="preserve">Contaminated </w:t>
      </w:r>
      <w:proofErr w:type="gramStart"/>
      <w:r>
        <w:t>Sites;</w:t>
      </w:r>
      <w:proofErr w:type="gramEnd"/>
    </w:p>
    <w:p w:rsidR="008135A4" w:rsidP="00473E5D" w:rsidRDefault="008135A4" w14:paraId="29FE4B9D" w14:textId="77777777">
      <w:pPr>
        <w:pStyle w:val="BodyTextbullets125"/>
        <w:numPr>
          <w:ilvl w:val="1"/>
          <w:numId w:val="1"/>
        </w:numPr>
      </w:pPr>
      <w:r>
        <w:t xml:space="preserve">Temporary uses - any residential or non-residential building or structure constructed in accordance with a temporary use by-law pursuant to section 39 of the Planning Act, R.S.O. 1990 or any temporary erection of a building without foundation for a period not exceeding six consecutive months and not more than six months in any calendar year (includes tents, seasonal garden </w:t>
      </w:r>
      <w:proofErr w:type="spellStart"/>
      <w:r>
        <w:t>centres</w:t>
      </w:r>
      <w:proofErr w:type="spellEnd"/>
      <w:r>
        <w:t>, and temporary sales trailers);</w:t>
      </w:r>
    </w:p>
    <w:p w:rsidR="008135A4" w:rsidP="00473E5D" w:rsidRDefault="008135A4" w14:paraId="1BA7813B" w14:textId="77777777">
      <w:pPr>
        <w:pStyle w:val="BodyTextbullets125"/>
        <w:numPr>
          <w:ilvl w:val="1"/>
          <w:numId w:val="1"/>
        </w:numPr>
      </w:pPr>
      <w:r>
        <w:t xml:space="preserve">Farm </w:t>
      </w:r>
      <w:proofErr w:type="gramStart"/>
      <w:r>
        <w:t>buildings;</w:t>
      </w:r>
      <w:proofErr w:type="gramEnd"/>
      <w:r>
        <w:t xml:space="preserve"> </w:t>
      </w:r>
    </w:p>
    <w:p w:rsidR="008135A4" w:rsidP="00473E5D" w:rsidRDefault="008135A4" w14:paraId="04157AF2" w14:textId="77777777">
      <w:pPr>
        <w:pStyle w:val="BodyTextbullets125"/>
        <w:numPr>
          <w:ilvl w:val="1"/>
          <w:numId w:val="1"/>
        </w:numPr>
      </w:pPr>
      <w:r>
        <w:t>Buildings that have been designated under the Ontario Heritage Act; and</w:t>
      </w:r>
    </w:p>
    <w:p w:rsidR="008135A4" w:rsidP="00473E5D" w:rsidRDefault="008135A4" w14:paraId="471A4678" w14:textId="77777777">
      <w:pPr>
        <w:pStyle w:val="BodyTextbullets125"/>
        <w:numPr>
          <w:ilvl w:val="1"/>
          <w:numId w:val="1"/>
        </w:numPr>
      </w:pPr>
      <w:r>
        <w:t>Home based businesses.</w:t>
      </w:r>
    </w:p>
    <w:p w:rsidRPr="004C7F3B" w:rsidR="009F377B" w:rsidP="009F377B" w:rsidRDefault="009F377B" w14:paraId="1D1FE16E" w14:textId="77777777">
      <w:pPr>
        <w:pStyle w:val="BoldHeading"/>
        <w:rPr>
          <w:lang w:val="en-CA"/>
        </w:rPr>
      </w:pPr>
      <w:r w:rsidRPr="004C7F3B">
        <w:rPr>
          <w:lang w:val="en-CA"/>
        </w:rPr>
        <w:t>Indexing</w:t>
      </w:r>
    </w:p>
    <w:p w:rsidR="009F377B" w:rsidP="009F377B" w:rsidRDefault="009F377B" w14:paraId="6B17EEE8" w14:textId="2CD82C28">
      <w:pPr>
        <w:pStyle w:val="BodyText125"/>
        <w:rPr>
          <w:lang w:val="en-CA" w:eastAsia="ja-JP"/>
        </w:rPr>
      </w:pPr>
      <w:r w:rsidRPr="00386D1F">
        <w:rPr>
          <w:lang w:val="en-CA" w:eastAsia="ja-JP"/>
        </w:rPr>
        <w:t xml:space="preserve">The </w:t>
      </w:r>
      <w:r>
        <w:rPr>
          <w:lang w:val="en-CA" w:eastAsia="ja-JP"/>
        </w:rPr>
        <w:t>D.C.</w:t>
      </w:r>
      <w:r w:rsidRPr="00386D1F">
        <w:rPr>
          <w:lang w:val="en-CA" w:eastAsia="ja-JP"/>
        </w:rPr>
        <w:t>s imposed shall be adjusted annually</w:t>
      </w:r>
      <w:r>
        <w:rPr>
          <w:lang w:val="en-CA" w:eastAsia="ja-JP"/>
        </w:rPr>
        <w:t>,</w:t>
      </w:r>
      <w:r w:rsidRPr="00386D1F">
        <w:rPr>
          <w:lang w:val="en-CA" w:eastAsia="ja-JP"/>
        </w:rPr>
        <w:t xml:space="preserve"> without amendment to th</w:t>
      </w:r>
      <w:r>
        <w:rPr>
          <w:lang w:val="en-CA" w:eastAsia="ja-JP"/>
        </w:rPr>
        <w:t>e</w:t>
      </w:r>
      <w:r w:rsidRPr="00386D1F">
        <w:rPr>
          <w:lang w:val="en-CA" w:eastAsia="ja-JP"/>
        </w:rPr>
        <w:t xml:space="preserve"> by-law</w:t>
      </w:r>
      <w:r>
        <w:rPr>
          <w:lang w:val="en-CA" w:eastAsia="ja-JP"/>
        </w:rPr>
        <w:t xml:space="preserve">, based on the prescribed index in the D.C.A. on </w:t>
      </w:r>
      <w:r w:rsidR="00DA0B57">
        <w:rPr>
          <w:lang w:val="en-CA" w:eastAsia="ja-JP"/>
        </w:rPr>
        <w:t>December</w:t>
      </w:r>
      <w:r>
        <w:rPr>
          <w:lang w:val="en-CA" w:eastAsia="ja-JP"/>
        </w:rPr>
        <w:t xml:space="preserve"> 1, commencing on </w:t>
      </w:r>
      <w:r w:rsidR="00DA0B57">
        <w:rPr>
          <w:lang w:val="en-CA" w:eastAsia="ja-JP"/>
        </w:rPr>
        <w:t>December</w:t>
      </w:r>
      <w:r>
        <w:rPr>
          <w:lang w:val="en-CA" w:eastAsia="ja-JP"/>
        </w:rPr>
        <w:t xml:space="preserve"> 1, 2024.</w:t>
      </w:r>
    </w:p>
    <w:p w:rsidRPr="004C7F3B" w:rsidR="009F377B" w:rsidP="009F377B" w:rsidRDefault="009F377B" w14:paraId="10353218" w14:textId="77777777">
      <w:pPr>
        <w:pStyle w:val="BoldHeading"/>
        <w:rPr>
          <w:lang w:val="en-CA"/>
        </w:rPr>
      </w:pPr>
      <w:r w:rsidRPr="004C7F3B">
        <w:rPr>
          <w:lang w:val="en-CA"/>
        </w:rPr>
        <w:t>By-law Duration</w:t>
      </w:r>
    </w:p>
    <w:p w:rsidR="009F377B" w:rsidP="009F377B" w:rsidRDefault="009F377B" w14:paraId="63CF8747" w14:textId="5F725EFB">
      <w:pPr>
        <w:pStyle w:val="BodyText125"/>
        <w:rPr>
          <w:lang w:val="en-CA" w:eastAsia="ja-JP"/>
        </w:rPr>
      </w:pPr>
      <w:r w:rsidRPr="00B533FF">
        <w:rPr>
          <w:lang w:val="en-CA" w:eastAsia="ja-JP"/>
        </w:rPr>
        <w:t xml:space="preserve">The by-law will expire on </w:t>
      </w:r>
      <w:r w:rsidR="00AE7CA4">
        <w:rPr>
          <w:lang w:val="en-CA" w:eastAsia="ja-JP"/>
        </w:rPr>
        <w:t>June 2</w:t>
      </w:r>
      <w:r>
        <w:rPr>
          <w:lang w:val="en-CA" w:eastAsia="ja-JP"/>
        </w:rPr>
        <w:t>, 20</w:t>
      </w:r>
      <w:r w:rsidR="003E278D">
        <w:rPr>
          <w:lang w:val="en-CA" w:eastAsia="ja-JP"/>
        </w:rPr>
        <w:t>34</w:t>
      </w:r>
      <w:r>
        <w:rPr>
          <w:lang w:val="en-CA" w:eastAsia="ja-JP"/>
        </w:rPr>
        <w:t xml:space="preserve">, </w:t>
      </w:r>
      <w:r w:rsidRPr="00B533FF">
        <w:rPr>
          <w:lang w:val="en-CA" w:eastAsia="ja-JP"/>
        </w:rPr>
        <w:t>unless it is repealed by</w:t>
      </w:r>
      <w:r>
        <w:rPr>
          <w:lang w:val="en-CA" w:eastAsia="ja-JP"/>
        </w:rPr>
        <w:t xml:space="preserve"> </w:t>
      </w:r>
      <w:r w:rsidRPr="00B533FF">
        <w:rPr>
          <w:lang w:val="en-CA" w:eastAsia="ja-JP"/>
        </w:rPr>
        <w:t>Council at an earlier date</w:t>
      </w:r>
      <w:r>
        <w:rPr>
          <w:lang w:val="en-CA" w:eastAsia="ja-JP"/>
        </w:rPr>
        <w:t>.</w:t>
      </w:r>
    </w:p>
    <w:p w:rsidR="009F377B" w:rsidP="009F377B" w:rsidRDefault="009F377B" w14:paraId="2B85905A" w14:textId="77777777">
      <w:pPr>
        <w:pStyle w:val="BoldHeading"/>
        <w:rPr>
          <w:lang w:val="en-CA"/>
        </w:rPr>
      </w:pPr>
      <w:r w:rsidRPr="004C7F3B">
        <w:rPr>
          <w:lang w:val="en-CA"/>
        </w:rPr>
        <w:t>Timing of D.C. Payments</w:t>
      </w:r>
    </w:p>
    <w:p w:rsidRPr="000A742A" w:rsidR="000A742A" w:rsidP="000A742A" w:rsidRDefault="000A742A" w14:paraId="2F63020D" w14:textId="77777777">
      <w:pPr>
        <w:pStyle w:val="BodyText125"/>
        <w:rPr>
          <w:lang w:val="en-CA"/>
        </w:rPr>
      </w:pPr>
      <w:r w:rsidRPr="000A742A">
        <w:rPr>
          <w:lang w:val="en-CA"/>
        </w:rPr>
        <w:t>The D.C.s for water, wastewater, stormwater, and services related to a highway are payable at the time of agreement for developments proceeding under Section 51 of the Planning Act (subdivisions) or 53 of the Planning Act (consents).</w:t>
      </w:r>
    </w:p>
    <w:p w:rsidRPr="000A742A" w:rsidR="000A742A" w:rsidP="000A742A" w:rsidRDefault="000A742A" w14:paraId="04528B49" w14:textId="2473F057">
      <w:pPr>
        <w:pStyle w:val="BodyText125"/>
        <w:rPr>
          <w:lang w:val="en-CA"/>
        </w:rPr>
      </w:pPr>
      <w:r w:rsidRPr="000A742A">
        <w:rPr>
          <w:lang w:val="en-CA"/>
        </w:rPr>
        <w:t xml:space="preserve">The D.C.s for all other services and classes are payable upon issuance of the first building permit for each dwelling unit, building, or structure, subject to early or late payment agreements </w:t>
      </w:r>
      <w:proofErr w:type="gramStart"/>
      <w:r w:rsidRPr="000A742A">
        <w:rPr>
          <w:lang w:val="en-CA"/>
        </w:rPr>
        <w:t>entered into</w:t>
      </w:r>
      <w:proofErr w:type="gramEnd"/>
      <w:r w:rsidRPr="000A742A">
        <w:rPr>
          <w:lang w:val="en-CA"/>
        </w:rPr>
        <w:t xml:space="preserve"> by the City and an owner under s. 27 of the D.C.A.</w:t>
      </w:r>
      <w:r w:rsidR="00A4193B">
        <w:rPr>
          <w:lang w:val="en-CA"/>
        </w:rPr>
        <w:t xml:space="preserve"> </w:t>
      </w:r>
    </w:p>
    <w:p w:rsidRPr="000A742A" w:rsidR="000C3FFA" w:rsidP="000A742A" w:rsidRDefault="000A742A" w14:paraId="1EE0AF7F" w14:textId="35044658">
      <w:pPr>
        <w:pStyle w:val="BodyText125"/>
        <w:rPr>
          <w:lang w:val="en-CA"/>
        </w:rPr>
      </w:pPr>
      <w:r w:rsidRPr="000A742A">
        <w:rPr>
          <w:lang w:val="en-CA"/>
        </w:rPr>
        <w:t xml:space="preserve">Rental housing and institutional developments will pay D.C.s in 6 equal annual payments commencing at occupancy.  Moreover, the D.C. amount for all developments occurring within </w:t>
      </w:r>
      <w:r w:rsidR="0014059B">
        <w:rPr>
          <w:lang w:val="en-CA"/>
        </w:rPr>
        <w:t>18 months</w:t>
      </w:r>
      <w:r w:rsidRPr="000A742A">
        <w:rPr>
          <w:lang w:val="en-CA"/>
        </w:rPr>
        <w:t xml:space="preserve"> of a Site Plan or Zoning By-law Amendment planning approval (for applications submitted after January 1, 2020), shall be determined based on the D.C. in effect on the day of the applicable Site Plan or Zoning By-law Amendment application.</w:t>
      </w:r>
    </w:p>
    <w:p w:rsidRPr="000A742A" w:rsidR="000A742A" w:rsidP="000A742A" w:rsidRDefault="000A742A" w14:paraId="00BC930D" w14:textId="77777777">
      <w:pPr>
        <w:pStyle w:val="BodyText125"/>
        <w:rPr>
          <w:lang w:val="en-CA"/>
        </w:rPr>
      </w:pPr>
      <w:r w:rsidRPr="000A742A">
        <w:rPr>
          <w:lang w:val="en-CA"/>
        </w:rPr>
        <w:t xml:space="preserve">Installment payments and payments determined at the time of Site Plan or Zoning By-law Amendment application are subject to annual interest charges.  The maximum interest rate the </w:t>
      </w:r>
      <w:proofErr w:type="gramStart"/>
      <w:r w:rsidRPr="000A742A">
        <w:rPr>
          <w:lang w:val="en-CA"/>
        </w:rPr>
        <w:t>City</w:t>
      </w:r>
      <w:proofErr w:type="gramEnd"/>
      <w:r w:rsidRPr="000A742A">
        <w:rPr>
          <w:lang w:val="en-CA"/>
        </w:rPr>
        <w:t xml:space="preserve"> can impose is the average prime rate plus 1%.</w:t>
      </w:r>
    </w:p>
    <w:p w:rsidRPr="0015322B" w:rsidR="009F377B" w:rsidP="000A0CE8" w:rsidRDefault="000C3FFA" w14:paraId="13275F3D" w14:textId="54936B78">
      <w:pPr>
        <w:pStyle w:val="BodyText125"/>
        <w:rPr>
          <w:lang w:val="en-CA"/>
        </w:rPr>
      </w:pPr>
      <w:r>
        <w:rPr>
          <w:lang w:val="en-CA"/>
        </w:rPr>
        <w:t xml:space="preserve">Note: given the legislative changes, as provided in Section 2 of this update study, the City’s D.C. by-laws are being amended to align with the new requirements with respect to timing of payment. </w:t>
      </w:r>
    </w:p>
    <w:p w:rsidRPr="0015322B" w:rsidR="00750DB7" w:rsidP="007918A5" w:rsidRDefault="00750DB7" w14:paraId="0039712D" w14:textId="77777777">
      <w:pPr>
        <w:pStyle w:val="BodyText125"/>
        <w:rPr>
          <w:lang w:val="en-CA"/>
        </w:rPr>
        <w:sectPr w:rsidRPr="0015322B" w:rsidR="00750DB7" w:rsidSect="00931F19">
          <w:footnotePr>
            <w:numRestart w:val="eachPage"/>
          </w:footnotePr>
          <w:pgSz w:w="12240" w:h="15840" w:orient="portrait" w:code="1"/>
          <w:pgMar w:top="1440" w:right="1440" w:bottom="1440" w:left="1440" w:header="432" w:footer="619" w:gutter="0"/>
          <w:cols w:space="708"/>
          <w:titlePg/>
          <w:docGrid w:linePitch="360"/>
        </w:sectPr>
      </w:pPr>
    </w:p>
    <w:p w:rsidRPr="0015322B" w:rsidR="001D78DB" w:rsidP="002D337C" w:rsidRDefault="00750DB7" w14:paraId="36B772B0" w14:textId="64318658">
      <w:pPr>
        <w:pStyle w:val="APPdivider"/>
        <w:tabs>
          <w:tab w:val="left" w:pos="5400"/>
        </w:tabs>
        <w:rPr>
          <w:lang w:val="en-CA"/>
        </w:rPr>
        <w:sectPr w:rsidRPr="0015322B" w:rsidR="001D78DB" w:rsidSect="00931F19">
          <w:footerReference w:type="default" r:id="rId71"/>
          <w:footerReference w:type="first" r:id="rId72"/>
          <w:footnotePr>
            <w:numRestart w:val="eachPage"/>
          </w:footnotePr>
          <w:pgSz w:w="12240" w:h="15840" w:orient="portrait" w:code="1"/>
          <w:pgMar w:top="1440" w:right="1440" w:bottom="1440" w:left="1440" w:header="432" w:footer="624" w:gutter="0"/>
          <w:pgNumType w:start="1"/>
          <w:cols w:space="708"/>
          <w:titlePg/>
          <w:docGrid w:linePitch="360"/>
        </w:sectPr>
      </w:pPr>
      <w:bookmarkStart w:name="_Toc520822998" w:id="39"/>
      <w:bookmarkStart w:name="_Toc520911043" w:id="40"/>
      <w:bookmarkStart w:name="_Toc520911424" w:id="41"/>
      <w:bookmarkStart w:name="_Toc213674185" w:id="42"/>
      <w:r w:rsidRPr="0015322B">
        <w:rPr>
          <w:lang w:val="en-CA"/>
        </w:rPr>
        <w:t>Appendix B</w:t>
      </w:r>
      <w:r w:rsidR="001A29AA">
        <w:rPr>
          <w:lang w:val="en-CA"/>
        </w:rPr>
        <w:t xml:space="preserve"> </w:t>
      </w:r>
      <w:r w:rsidRPr="0015322B" w:rsidR="00620725">
        <w:rPr>
          <w:lang w:val="en-CA"/>
        </w:rPr>
        <w:br/>
      </w:r>
      <w:bookmarkEnd w:id="39"/>
      <w:bookmarkEnd w:id="40"/>
      <w:bookmarkEnd w:id="41"/>
      <w:r w:rsidR="00652FE4">
        <w:rPr>
          <w:rStyle w:val="APPDividerTitleChar"/>
          <w:lang w:val="en-CA"/>
        </w:rPr>
        <w:t>Service Standards</w:t>
      </w:r>
      <w:bookmarkEnd w:id="42"/>
      <w:r w:rsidR="000362A5">
        <w:rPr>
          <w:rStyle w:val="APPDividerTitleChar"/>
          <w:lang w:val="en-CA"/>
        </w:rPr>
        <w:t xml:space="preserve"> </w:t>
      </w:r>
    </w:p>
    <w:p w:rsidRPr="0015322B" w:rsidR="00194B3A" w:rsidP="00194B3A" w:rsidRDefault="00194B3A" w14:paraId="36B78B47" w14:textId="7AB6FE53">
      <w:pPr>
        <w:pStyle w:val="APP1stpage"/>
        <w:rPr>
          <w:lang w:val="en-CA"/>
        </w:rPr>
      </w:pPr>
      <w:r w:rsidRPr="0015322B">
        <w:rPr>
          <w:lang w:val="en-CA"/>
        </w:rPr>
        <w:t xml:space="preserve">Appendix </w:t>
      </w:r>
      <w:r w:rsidRPr="0015322B" w:rsidR="00A043B7">
        <w:rPr>
          <w:lang w:val="en-CA"/>
        </w:rPr>
        <w:t>B</w:t>
      </w:r>
      <w:r w:rsidRPr="0015322B" w:rsidR="003930AA">
        <w:rPr>
          <w:lang w:val="en-CA"/>
        </w:rPr>
        <w:t xml:space="preserve">:  </w:t>
      </w:r>
      <w:r w:rsidR="00652FE4">
        <w:rPr>
          <w:lang w:val="en-CA"/>
        </w:rPr>
        <w:t>Service Standards</w:t>
      </w:r>
    </w:p>
    <w:p w:rsidR="00AB161C" w:rsidP="00AB161C" w:rsidRDefault="00AB161C" w14:paraId="2B2B7949" w14:textId="77777777">
      <w:pPr>
        <w:pStyle w:val="FigureTableTitles"/>
        <w:rPr>
          <w:lang w:val="en-CA"/>
        </w:rPr>
      </w:pPr>
      <w:r>
        <w:rPr>
          <w:lang w:val="en-CA"/>
        </w:rPr>
        <w:t>Table B-1</w:t>
      </w:r>
    </w:p>
    <w:p w:rsidR="000A0CE8" w:rsidP="00AB161C" w:rsidRDefault="00AB161C" w14:paraId="3A66F3A4" w14:textId="67D5D0F4">
      <w:pPr>
        <w:pStyle w:val="FigureTableTitles"/>
        <w:rPr>
          <w:lang w:val="en-CA"/>
        </w:rPr>
      </w:pPr>
      <w:r>
        <w:rPr>
          <w:lang w:val="en-CA"/>
        </w:rPr>
        <w:t>Summary of Service Standards as per the Development Charges Act, 1997, as Amended</w:t>
      </w:r>
    </w:p>
    <w:p w:rsidR="00AB161C" w:rsidP="00AB161C" w:rsidRDefault="00AB161C" w14:paraId="63F14A56" w14:textId="34BFE187">
      <w:pPr>
        <w:pStyle w:val="FigureTableTitles"/>
        <w:rPr>
          <w:lang w:val="en-CA"/>
        </w:rPr>
      </w:pPr>
      <w:r>
        <w:rPr>
          <w:lang w:val="en-CA"/>
        </w:rPr>
        <w:t>For Services Revised in this 202</w:t>
      </w:r>
      <w:r w:rsidR="006530AC">
        <w:rPr>
          <w:lang w:val="en-CA"/>
        </w:rPr>
        <w:t>5</w:t>
      </w:r>
      <w:r>
        <w:rPr>
          <w:lang w:val="en-CA"/>
        </w:rPr>
        <w:t xml:space="preserve"> Update Study (2023$)</w:t>
      </w:r>
    </w:p>
    <w:p w:rsidR="00AB161C" w:rsidP="006530AC" w:rsidRDefault="009A6418" w14:paraId="0FF03CD2" w14:textId="47DE21F1">
      <w:pPr>
        <w:jc w:val="center"/>
        <w:rPr>
          <w:rFonts w:eastAsia="Times New Roman"/>
          <w:lang w:val="en-CA"/>
        </w:rPr>
      </w:pPr>
      <w:r w:rsidRPr="009A6418">
        <w:rPr>
          <w:noProof/>
        </w:rPr>
        <w:drawing>
          <wp:inline distT="0" distB="0" distL="0" distR="0" wp14:anchorId="5433DDAE" wp14:editId="0B66EF90">
            <wp:extent cx="10972800" cy="2424430"/>
            <wp:effectExtent l="0" t="0" r="0" b="0"/>
            <wp:docPr id="264713549" name="Picture 7" descr="Summary of Service Standards as per the Development Charges Act, 1997, as Amended&#10;For Services Revised in this 2025 Update Study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13549" name="Picture 7" descr="Summary of Service Standards as per the Development Charges Act, 1997, as Amended&#10;For Services Revised in this 2025 Update Study (2023$)&#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72800" cy="2424430"/>
                    </a:xfrm>
                    <a:prstGeom prst="rect">
                      <a:avLst/>
                    </a:prstGeom>
                    <a:noFill/>
                    <a:ln>
                      <a:noFill/>
                    </a:ln>
                  </pic:spPr>
                </pic:pic>
              </a:graphicData>
            </a:graphic>
          </wp:inline>
        </w:drawing>
      </w:r>
      <w:r w:rsidR="00AB161C">
        <w:rPr>
          <w:lang w:val="en-CA"/>
        </w:rPr>
        <w:br w:type="page"/>
      </w:r>
    </w:p>
    <w:p w:rsidR="00AB161C" w:rsidP="006530AC" w:rsidRDefault="006530AC" w14:paraId="420A91B7" w14:textId="14B4443F">
      <w:pPr>
        <w:pStyle w:val="BodyText125"/>
        <w:jc w:val="center"/>
        <w:rPr>
          <w:lang w:val="en-CA"/>
        </w:rPr>
      </w:pPr>
      <w:r w:rsidRPr="006530AC">
        <w:rPr>
          <w:noProof/>
        </w:rPr>
        <w:drawing>
          <wp:inline distT="0" distB="0" distL="0" distR="0" wp14:anchorId="673FF9B0" wp14:editId="7955F5B0">
            <wp:extent cx="10972800" cy="3302000"/>
            <wp:effectExtent l="0" t="0" r="0" b="0"/>
            <wp:docPr id="91744572" name="Picture 22" descr="Parkland Development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4572" name="Picture 22" descr="Parkland Development Service Standard Calculation Shee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72800" cy="3302000"/>
                    </a:xfrm>
                    <a:prstGeom prst="rect">
                      <a:avLst/>
                    </a:prstGeom>
                    <a:noFill/>
                    <a:ln>
                      <a:noFill/>
                    </a:ln>
                  </pic:spPr>
                </pic:pic>
              </a:graphicData>
            </a:graphic>
          </wp:inline>
        </w:drawing>
      </w:r>
    </w:p>
    <w:p w:rsidR="00AB161C" w:rsidRDefault="00AB161C" w14:paraId="16C051FD" w14:textId="77777777">
      <w:pPr>
        <w:rPr>
          <w:rFonts w:eastAsia="Times New Roman"/>
          <w:lang w:val="en-CA"/>
        </w:rPr>
      </w:pPr>
      <w:r>
        <w:rPr>
          <w:lang w:val="en-CA"/>
        </w:rPr>
        <w:br w:type="page"/>
      </w:r>
    </w:p>
    <w:p w:rsidR="00AB161C" w:rsidP="00AB161C" w:rsidRDefault="006530AC" w14:paraId="15C4D0BA" w14:textId="154480B7">
      <w:pPr>
        <w:pStyle w:val="BodyText125"/>
        <w:rPr>
          <w:lang w:val="en-CA"/>
        </w:rPr>
      </w:pPr>
      <w:r w:rsidRPr="006530AC">
        <w:rPr>
          <w:noProof/>
        </w:rPr>
        <w:drawing>
          <wp:inline distT="0" distB="0" distL="0" distR="0" wp14:anchorId="0509A52F" wp14:editId="7409F93F">
            <wp:extent cx="10972800" cy="5572125"/>
            <wp:effectExtent l="0" t="0" r="0" b="9525"/>
            <wp:docPr id="551921771" name="Picture 24" descr="Parkland Amenities (Park)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21771" name="Picture 24" descr="Parkland Amenities (Park) Service Standard Calculation Shee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72800" cy="5572125"/>
                    </a:xfrm>
                    <a:prstGeom prst="rect">
                      <a:avLst/>
                    </a:prstGeom>
                    <a:noFill/>
                    <a:ln>
                      <a:noFill/>
                    </a:ln>
                  </pic:spPr>
                </pic:pic>
              </a:graphicData>
            </a:graphic>
          </wp:inline>
        </w:drawing>
      </w:r>
    </w:p>
    <w:p w:rsidR="009B6C7F" w:rsidP="00AB161C" w:rsidRDefault="0053784F" w14:paraId="63D99D6C" w14:textId="5BF5105C">
      <w:pPr>
        <w:pStyle w:val="BodyText125"/>
        <w:rPr>
          <w:lang w:val="en-CA"/>
        </w:rPr>
      </w:pPr>
      <w:r w:rsidRPr="0053784F">
        <w:rPr>
          <w:noProof/>
        </w:rPr>
        <w:drawing>
          <wp:inline distT="0" distB="0" distL="0" distR="0" wp14:anchorId="5898D3BB" wp14:editId="78C8BA7E">
            <wp:extent cx="10972800" cy="5447665"/>
            <wp:effectExtent l="0" t="0" r="0" b="635"/>
            <wp:docPr id="789443445" name="Picture 6" descr="Parkland Amenities (Park)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43445" name="Picture 6" descr="Parkland Amenities (Park) Service Standard Calculation Shee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72800" cy="5447665"/>
                    </a:xfrm>
                    <a:prstGeom prst="rect">
                      <a:avLst/>
                    </a:prstGeom>
                    <a:noFill/>
                    <a:ln>
                      <a:noFill/>
                    </a:ln>
                  </pic:spPr>
                </pic:pic>
              </a:graphicData>
            </a:graphic>
          </wp:inline>
        </w:drawing>
      </w:r>
    </w:p>
    <w:p w:rsidR="006530AC" w:rsidP="00AB161C" w:rsidRDefault="009B6C7F" w14:paraId="0166F029" w14:textId="263307E7">
      <w:pPr>
        <w:pStyle w:val="BodyText125"/>
        <w:rPr>
          <w:lang w:val="en-CA"/>
        </w:rPr>
      </w:pPr>
      <w:r w:rsidRPr="009B6C7F">
        <w:rPr>
          <w:noProof/>
        </w:rPr>
        <w:drawing>
          <wp:inline distT="0" distB="0" distL="0" distR="0" wp14:anchorId="7EE02C2C" wp14:editId="045A5E4F">
            <wp:extent cx="10972800" cy="5267960"/>
            <wp:effectExtent l="0" t="0" r="0" b="8890"/>
            <wp:docPr id="584862105" name="Picture 27" descr="Parkland Amenities (Park)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62105" name="Picture 27" descr="Parkland Amenities (Park) Service Standard Calculation Shee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72800" cy="5267960"/>
                    </a:xfrm>
                    <a:prstGeom prst="rect">
                      <a:avLst/>
                    </a:prstGeom>
                    <a:noFill/>
                    <a:ln>
                      <a:noFill/>
                    </a:ln>
                  </pic:spPr>
                </pic:pic>
              </a:graphicData>
            </a:graphic>
          </wp:inline>
        </w:drawing>
      </w:r>
      <w:r>
        <w:rPr>
          <w:lang w:val="en-CA"/>
        </w:rPr>
        <w:br w:type="textWrapping" w:clear="all"/>
      </w:r>
    </w:p>
    <w:p w:rsidR="009B6C7F" w:rsidP="00AB161C" w:rsidRDefault="009B6C7F" w14:paraId="1719F574" w14:textId="55EC9BC8">
      <w:pPr>
        <w:pStyle w:val="BodyText125"/>
        <w:rPr>
          <w:lang w:val="en-CA"/>
        </w:rPr>
      </w:pPr>
      <w:r w:rsidRPr="009B6C7F">
        <w:rPr>
          <w:noProof/>
        </w:rPr>
        <w:drawing>
          <wp:inline distT="0" distB="0" distL="0" distR="0" wp14:anchorId="0B478C91" wp14:editId="0916F3F6">
            <wp:extent cx="10972800" cy="5772785"/>
            <wp:effectExtent l="0" t="0" r="0" b="0"/>
            <wp:docPr id="1277762562" name="Picture 28" descr="Parkland Amenities (Recreation)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62562" name="Picture 28" descr="Parkland Amenities (Recreation) Service Standard Calculation Shee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72800" cy="5772785"/>
                    </a:xfrm>
                    <a:prstGeom prst="rect">
                      <a:avLst/>
                    </a:prstGeom>
                    <a:noFill/>
                    <a:ln>
                      <a:noFill/>
                    </a:ln>
                  </pic:spPr>
                </pic:pic>
              </a:graphicData>
            </a:graphic>
          </wp:inline>
        </w:drawing>
      </w:r>
    </w:p>
    <w:p w:rsidR="009B6C7F" w:rsidP="00AB161C" w:rsidRDefault="009B6C7F" w14:paraId="290EECA4" w14:textId="3A88A076">
      <w:pPr>
        <w:pStyle w:val="BodyText125"/>
        <w:rPr>
          <w:lang w:val="en-CA"/>
        </w:rPr>
      </w:pPr>
      <w:r w:rsidRPr="009B6C7F">
        <w:rPr>
          <w:noProof/>
        </w:rPr>
        <w:drawing>
          <wp:inline distT="0" distB="0" distL="0" distR="0" wp14:anchorId="6DE868DD" wp14:editId="1282A62D">
            <wp:extent cx="10972800" cy="3806825"/>
            <wp:effectExtent l="0" t="0" r="0" b="3175"/>
            <wp:docPr id="61757405" name="Picture 29" descr="Parkland Amenities (Parking Areas and Other Features)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7405" name="Picture 29" descr="Parkland Amenities (Parking Areas and Other Features) Service Standard Calculation Shee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72800" cy="3806825"/>
                    </a:xfrm>
                    <a:prstGeom prst="rect">
                      <a:avLst/>
                    </a:prstGeom>
                    <a:noFill/>
                    <a:ln>
                      <a:noFill/>
                    </a:ln>
                  </pic:spPr>
                </pic:pic>
              </a:graphicData>
            </a:graphic>
          </wp:inline>
        </w:drawing>
      </w:r>
    </w:p>
    <w:p w:rsidR="009B6C7F" w:rsidP="00AB161C" w:rsidRDefault="009B6C7F" w14:paraId="7FE5ED39" w14:textId="7E23E1FA">
      <w:pPr>
        <w:pStyle w:val="BodyText125"/>
        <w:rPr>
          <w:lang w:val="en-CA"/>
        </w:rPr>
      </w:pPr>
      <w:r w:rsidRPr="009B6C7F">
        <w:rPr>
          <w:noProof/>
        </w:rPr>
        <w:drawing>
          <wp:inline distT="0" distB="0" distL="0" distR="0" wp14:anchorId="1F0F98C3" wp14:editId="0D0F9F06">
            <wp:extent cx="10972800" cy="3994785"/>
            <wp:effectExtent l="0" t="0" r="0" b="5715"/>
            <wp:docPr id="666137929" name="Picture 31" descr="Parkland Trails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37929" name="Picture 31" descr="Parkland Trails Service Standard Calculation Shee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72800" cy="3994785"/>
                    </a:xfrm>
                    <a:prstGeom prst="rect">
                      <a:avLst/>
                    </a:prstGeom>
                    <a:noFill/>
                    <a:ln>
                      <a:noFill/>
                    </a:ln>
                  </pic:spPr>
                </pic:pic>
              </a:graphicData>
            </a:graphic>
          </wp:inline>
        </w:drawing>
      </w:r>
    </w:p>
    <w:p w:rsidR="009B6C7F" w:rsidP="00AB161C" w:rsidRDefault="009B6C7F" w14:paraId="6B3E4083" w14:textId="714C5B89">
      <w:pPr>
        <w:pStyle w:val="BodyText125"/>
        <w:rPr>
          <w:lang w:val="en-CA"/>
        </w:rPr>
      </w:pPr>
      <w:r w:rsidRPr="009B6C7F">
        <w:rPr>
          <w:noProof/>
        </w:rPr>
        <w:drawing>
          <wp:inline distT="0" distB="0" distL="0" distR="0" wp14:anchorId="7D91A6C8" wp14:editId="425CE801">
            <wp:extent cx="10972800" cy="3594735"/>
            <wp:effectExtent l="0" t="0" r="0" b="5715"/>
            <wp:docPr id="1624105293" name="Picture 32" descr="Parkland Trails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05293" name="Picture 32" descr="Parkland Trails Service Standard Calculation Shee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72800" cy="3594735"/>
                    </a:xfrm>
                    <a:prstGeom prst="rect">
                      <a:avLst/>
                    </a:prstGeom>
                    <a:noFill/>
                    <a:ln>
                      <a:noFill/>
                    </a:ln>
                  </pic:spPr>
                </pic:pic>
              </a:graphicData>
            </a:graphic>
          </wp:inline>
        </w:drawing>
      </w:r>
    </w:p>
    <w:p w:rsidR="0062148C" w:rsidP="00AB161C" w:rsidRDefault="00321373" w14:paraId="214C3707" w14:textId="2B97D444">
      <w:pPr>
        <w:pStyle w:val="BodyText125"/>
        <w:rPr>
          <w:lang w:val="en-CA"/>
        </w:rPr>
      </w:pPr>
      <w:r w:rsidRPr="00321373">
        <w:rPr>
          <w:lang w:val="en-CA"/>
        </w:rPr>
        <w:t xml:space="preserve"> </w:t>
      </w:r>
      <w:r w:rsidRPr="00321373">
        <w:rPr>
          <w:noProof/>
        </w:rPr>
        <w:drawing>
          <wp:inline distT="0" distB="0" distL="0" distR="0" wp14:anchorId="44157076" wp14:editId="19D00BA7">
            <wp:extent cx="10972800" cy="4624705"/>
            <wp:effectExtent l="0" t="0" r="0" b="4445"/>
            <wp:docPr id="679945680" name="Picture 11" descr="Recreation Facilities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45680" name="Picture 11" descr="Recreation Facilities Service Standard Calculation Shee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72800" cy="4624705"/>
                    </a:xfrm>
                    <a:prstGeom prst="rect">
                      <a:avLst/>
                    </a:prstGeom>
                    <a:noFill/>
                    <a:ln>
                      <a:noFill/>
                    </a:ln>
                  </pic:spPr>
                </pic:pic>
              </a:graphicData>
            </a:graphic>
          </wp:inline>
        </w:drawing>
      </w:r>
    </w:p>
    <w:p w:rsidR="0062148C" w:rsidP="00AB161C" w:rsidRDefault="00B3476E" w14:paraId="625FA368" w14:textId="014A01D8">
      <w:pPr>
        <w:pStyle w:val="BodyText125"/>
        <w:rPr>
          <w:lang w:val="en-CA"/>
        </w:rPr>
      </w:pPr>
      <w:r w:rsidRPr="00B3476E">
        <w:rPr>
          <w:noProof/>
        </w:rPr>
        <w:drawing>
          <wp:inline distT="0" distB="0" distL="0" distR="0" wp14:anchorId="671852AB" wp14:editId="7B333ED0">
            <wp:extent cx="10972800" cy="4610735"/>
            <wp:effectExtent l="0" t="0" r="0" b="0"/>
            <wp:docPr id="160252563" name="Picture 12" descr="Recreation Facilities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2563" name="Picture 12" descr="Recreation Facilities Service Standard Calculation Shee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72800" cy="4610735"/>
                    </a:xfrm>
                    <a:prstGeom prst="rect">
                      <a:avLst/>
                    </a:prstGeom>
                    <a:noFill/>
                    <a:ln>
                      <a:noFill/>
                    </a:ln>
                  </pic:spPr>
                </pic:pic>
              </a:graphicData>
            </a:graphic>
          </wp:inline>
        </w:drawing>
      </w:r>
    </w:p>
    <w:p w:rsidR="0062148C" w:rsidP="00AB161C" w:rsidRDefault="0062148C" w14:paraId="446807CB" w14:textId="003FAF2A">
      <w:pPr>
        <w:pStyle w:val="BodyText125"/>
        <w:rPr>
          <w:lang w:val="en-CA"/>
        </w:rPr>
      </w:pPr>
      <w:r w:rsidRPr="0062148C">
        <w:rPr>
          <w:noProof/>
        </w:rPr>
        <w:drawing>
          <wp:inline distT="0" distB="0" distL="0" distR="0" wp14:anchorId="26EE1BA7" wp14:editId="20CA4D63">
            <wp:extent cx="10972800" cy="4239895"/>
            <wp:effectExtent l="0" t="0" r="0" b="8255"/>
            <wp:docPr id="1171872326" name="Picture 37" descr="Parks &amp; Recreation Vehicles and Equipment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72326" name="Picture 37" descr="Parks &amp; Recreation Vehicles and Equipment Service Standard Calculation Shee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72800" cy="4239895"/>
                    </a:xfrm>
                    <a:prstGeom prst="rect">
                      <a:avLst/>
                    </a:prstGeom>
                    <a:noFill/>
                    <a:ln>
                      <a:noFill/>
                    </a:ln>
                  </pic:spPr>
                </pic:pic>
              </a:graphicData>
            </a:graphic>
          </wp:inline>
        </w:drawing>
      </w:r>
    </w:p>
    <w:p w:rsidR="0062148C" w:rsidP="00AB161C" w:rsidRDefault="0062148C" w14:paraId="3D6EB40C" w14:textId="10899C49">
      <w:pPr>
        <w:pStyle w:val="BodyText125"/>
        <w:rPr>
          <w:lang w:val="en-CA"/>
        </w:rPr>
      </w:pPr>
      <w:r w:rsidRPr="0062148C">
        <w:rPr>
          <w:noProof/>
        </w:rPr>
        <w:drawing>
          <wp:inline distT="0" distB="0" distL="0" distR="0" wp14:anchorId="43391FE2" wp14:editId="47E21FD8">
            <wp:extent cx="10972800" cy="4239895"/>
            <wp:effectExtent l="0" t="0" r="0" b="8255"/>
            <wp:docPr id="591489288" name="Picture 39" descr="Parks &amp; Recreation Vehicles and Equipment Service Standard Calc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9288" name="Picture 39" descr="Parks &amp; Recreation Vehicles and Equipment Service Standard Calculation Shee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972800" cy="4239895"/>
                    </a:xfrm>
                    <a:prstGeom prst="rect">
                      <a:avLst/>
                    </a:prstGeom>
                    <a:noFill/>
                    <a:ln>
                      <a:noFill/>
                    </a:ln>
                  </pic:spPr>
                </pic:pic>
              </a:graphicData>
            </a:graphic>
          </wp:inline>
        </w:drawing>
      </w:r>
    </w:p>
    <w:p w:rsidRPr="0062148C" w:rsidR="00AB161C" w:rsidP="0062148C" w:rsidRDefault="00AB161C" w14:paraId="3AE6CCCF" w14:textId="67207AB8">
      <w:pPr>
        <w:rPr>
          <w:rFonts w:eastAsia="Times New Roman"/>
          <w:lang w:val="en-CA"/>
        </w:rPr>
      </w:pPr>
      <w:r>
        <w:rPr>
          <w:lang w:val="en-CA"/>
        </w:rPr>
        <w:br w:type="page"/>
      </w:r>
    </w:p>
    <w:p w:rsidRPr="0015322B" w:rsidR="00750DB7" w:rsidP="007918A5" w:rsidRDefault="00750DB7" w14:paraId="1A9DB40C" w14:textId="77777777">
      <w:pPr>
        <w:pStyle w:val="BodyText125"/>
        <w:rPr>
          <w:lang w:val="en-CA"/>
        </w:rPr>
        <w:sectPr w:rsidRPr="0015322B" w:rsidR="00750DB7" w:rsidSect="00AB161C">
          <w:footnotePr>
            <w:numRestart w:val="eachPage"/>
          </w:footnotePr>
          <w:pgSz w:w="20160" w:h="12240" w:orient="landscape" w:code="5"/>
          <w:pgMar w:top="1440" w:right="1440" w:bottom="1440" w:left="1440" w:header="432" w:footer="619" w:gutter="0"/>
          <w:cols w:space="708"/>
          <w:titlePg/>
          <w:docGrid w:linePitch="360"/>
        </w:sectPr>
      </w:pPr>
    </w:p>
    <w:p w:rsidRPr="0015322B" w:rsidR="00750DB7" w:rsidP="002D337C" w:rsidRDefault="00750DB7" w14:paraId="2F10DF31" w14:textId="4ED5AFDE">
      <w:pPr>
        <w:pStyle w:val="APPdivider"/>
        <w:tabs>
          <w:tab w:val="left" w:pos="5400"/>
        </w:tabs>
        <w:rPr>
          <w:lang w:val="en-CA"/>
        </w:rPr>
        <w:sectPr w:rsidRPr="0015322B" w:rsidR="00750DB7" w:rsidSect="00931F19">
          <w:footerReference w:type="default" r:id="rId86"/>
          <w:footerReference w:type="first" r:id="rId87"/>
          <w:footnotePr>
            <w:numRestart w:val="eachPage"/>
          </w:footnotePr>
          <w:pgSz w:w="12240" w:h="15840" w:orient="portrait" w:code="1"/>
          <w:pgMar w:top="1440" w:right="1440" w:bottom="1440" w:left="1440" w:header="432" w:footer="619" w:gutter="0"/>
          <w:pgNumType w:start="1"/>
          <w:cols w:space="708"/>
          <w:titlePg/>
          <w:docGrid w:linePitch="360"/>
        </w:sectPr>
      </w:pPr>
      <w:bookmarkStart w:name="_Toc213674186" w:id="43"/>
      <w:r w:rsidRPr="0015322B">
        <w:rPr>
          <w:lang w:val="en-CA"/>
        </w:rPr>
        <w:t>Appendix C</w:t>
      </w:r>
      <w:r w:rsidR="001A29AA">
        <w:rPr>
          <w:lang w:val="en-CA"/>
        </w:rPr>
        <w:t xml:space="preserve"> </w:t>
      </w:r>
      <w:r w:rsidRPr="0015322B" w:rsidR="00620725">
        <w:rPr>
          <w:lang w:val="en-CA"/>
        </w:rPr>
        <w:br/>
      </w:r>
      <w:r w:rsidR="00DB2F95">
        <w:rPr>
          <w:rStyle w:val="APPDividerTitleChar"/>
          <w:lang w:val="en-CA"/>
        </w:rPr>
        <w:t>Implications of Bill 60</w:t>
      </w:r>
      <w:bookmarkEnd w:id="43"/>
      <w:r w:rsidRPr="0015322B">
        <w:rPr>
          <w:lang w:val="en-CA"/>
        </w:rPr>
        <w:t xml:space="preserve"> </w:t>
      </w:r>
    </w:p>
    <w:p w:rsidR="00104209" w:rsidP="00F21AFA" w:rsidRDefault="00F21AFA" w14:paraId="354F226F" w14:textId="02A58006">
      <w:pPr>
        <w:pStyle w:val="APP1stpage"/>
        <w:rPr>
          <w:lang w:val="en-CA"/>
        </w:rPr>
      </w:pPr>
      <w:r w:rsidRPr="0015322B">
        <w:rPr>
          <w:lang w:val="en-CA"/>
        </w:rPr>
        <w:t>Appendix C</w:t>
      </w:r>
      <w:r w:rsidRPr="0015322B" w:rsidR="003930AA">
        <w:rPr>
          <w:lang w:val="en-CA"/>
        </w:rPr>
        <w:t xml:space="preserve">:  </w:t>
      </w:r>
      <w:r w:rsidR="00DB2F95">
        <w:rPr>
          <w:lang w:val="en-CA"/>
        </w:rPr>
        <w:t>Implications of Bill 60</w:t>
      </w:r>
    </w:p>
    <w:p w:rsidR="0063538D" w:rsidP="006F0974" w:rsidRDefault="000F575B" w14:paraId="06EB47E4" w14:textId="4C67029D">
      <w:pPr>
        <w:pStyle w:val="BodyText125"/>
        <w:rPr>
          <w:lang w:val="en-CA"/>
        </w:rPr>
      </w:pPr>
      <w:r>
        <w:rPr>
          <w:lang w:val="en-CA"/>
        </w:rPr>
        <w:t xml:space="preserve">The Provincial government introduced Bill 60, </w:t>
      </w:r>
      <w:r>
        <w:rPr>
          <w:i/>
          <w:iCs/>
          <w:lang w:val="en-CA"/>
        </w:rPr>
        <w:t>Fighting Delays, Building Faster Act, 2025</w:t>
      </w:r>
      <w:r>
        <w:rPr>
          <w:lang w:val="en-CA"/>
        </w:rPr>
        <w:t xml:space="preserve"> and Regulatory Proposals MMAH2018 and 25MMAH030 on </w:t>
      </w:r>
      <w:r w:rsidR="008A28CC">
        <w:rPr>
          <w:lang w:val="en-CA"/>
        </w:rPr>
        <w:t>October 2</w:t>
      </w:r>
      <w:r>
        <w:rPr>
          <w:lang w:val="en-CA"/>
        </w:rPr>
        <w:t>3</w:t>
      </w:r>
      <w:r w:rsidR="006F0974">
        <w:rPr>
          <w:lang w:val="en-CA"/>
        </w:rPr>
        <w:t>, 2025</w:t>
      </w:r>
      <w:r w:rsidR="00254ED0">
        <w:rPr>
          <w:lang w:val="en-CA"/>
        </w:rPr>
        <w:t>.  This Bill proposes amendments to the Development Charges Act, a</w:t>
      </w:r>
      <w:r w:rsidR="00CE628F">
        <w:rPr>
          <w:lang w:val="en-CA"/>
        </w:rPr>
        <w:t xml:space="preserve">long with other pieces of legislation.  </w:t>
      </w:r>
    </w:p>
    <w:p w:rsidR="00AB6286" w:rsidP="4FA7D9DC" w:rsidRDefault="0063538D" w14:paraId="3B252795" w14:textId="364ED228">
      <w:pPr>
        <w:pStyle w:val="BodyText125"/>
      </w:pPr>
      <w:r w:rsidRPr="4FA7D9DC">
        <w:t xml:space="preserve">At the time of writing, </w:t>
      </w:r>
      <w:proofErr w:type="gramStart"/>
      <w:r w:rsidRPr="4FA7D9DC">
        <w:t xml:space="preserve">the </w:t>
      </w:r>
      <w:r w:rsidRPr="4FA7D9DC" w:rsidR="00DF61E2">
        <w:t>Bill</w:t>
      </w:r>
      <w:proofErr w:type="gramEnd"/>
      <w:r w:rsidRPr="4FA7D9DC" w:rsidR="00DF61E2">
        <w:t xml:space="preserve"> has not received Royal Assent and is not yet in force.  As</w:t>
      </w:r>
      <w:r w:rsidRPr="4FA7D9DC" w:rsidR="00DB1469">
        <w:t xml:space="preserve"> such, t</w:t>
      </w:r>
      <w:r w:rsidRPr="4FA7D9DC" w:rsidR="00DF61E2">
        <w:t>he following sections summarize the proposed changes to the D.C.A. and associated regulations</w:t>
      </w:r>
      <w:r w:rsidRPr="4FA7D9DC" w:rsidR="00DB1469">
        <w:t>, as well as the potential impacts to the D.C. calculations presented herein</w:t>
      </w:r>
      <w:r w:rsidRPr="4FA7D9DC" w:rsidR="00DF61E2">
        <w:t xml:space="preserve">.  </w:t>
      </w:r>
      <w:r w:rsidRPr="4FA7D9DC" w:rsidR="006F0974">
        <w:t xml:space="preserve"> </w:t>
      </w:r>
    </w:p>
    <w:p w:rsidR="00DB1469" w:rsidP="00DB1469" w:rsidRDefault="00DB1469" w14:paraId="0344A7F2" w14:textId="32468A14">
      <w:pPr>
        <w:pStyle w:val="Heading2"/>
        <w:numPr>
          <w:ilvl w:val="0"/>
          <w:numId w:val="0"/>
        </w:numPr>
        <w:ind w:left="720" w:hanging="720"/>
        <w:rPr>
          <w:lang w:val="en-CA"/>
        </w:rPr>
      </w:pPr>
      <w:bookmarkStart w:name="_Toc213259767" w:id="44"/>
      <w:bookmarkStart w:name="_Toc213674187" w:id="45"/>
      <w:r>
        <w:rPr>
          <w:lang w:val="en-CA"/>
        </w:rPr>
        <w:t>C.1</w:t>
      </w:r>
      <w:r>
        <w:rPr>
          <w:lang w:val="en-CA"/>
        </w:rPr>
        <w:tab/>
      </w:r>
      <w:r>
        <w:rPr>
          <w:lang w:val="en-CA"/>
        </w:rPr>
        <w:t>Proposed Changes to the Development Charge Framework</w:t>
      </w:r>
      <w:bookmarkEnd w:id="44"/>
      <w:bookmarkEnd w:id="45"/>
    </w:p>
    <w:p w:rsidR="00DB1469" w:rsidP="00DB1469" w:rsidRDefault="00DB1469" w14:paraId="0D026C44" w14:textId="4D757949">
      <w:pPr>
        <w:pStyle w:val="BodyText125"/>
        <w:rPr>
          <w:lang w:val="en-CA" w:eastAsia="ja-JP"/>
        </w:rPr>
      </w:pPr>
      <w:r>
        <w:rPr>
          <w:lang w:val="en-CA" w:eastAsia="ja-JP"/>
        </w:rPr>
        <w:t>The following provides a list of the proposed changes</w:t>
      </w:r>
      <w:r w:rsidR="00463B51">
        <w:rPr>
          <w:lang w:val="en-CA" w:eastAsia="ja-JP"/>
        </w:rPr>
        <w:t>,</w:t>
      </w:r>
      <w:r>
        <w:rPr>
          <w:lang w:val="en-CA" w:eastAsia="ja-JP"/>
        </w:rPr>
        <w:t xml:space="preserve"> which are discussed in further detail below:</w:t>
      </w:r>
    </w:p>
    <w:p w:rsidRPr="00116537" w:rsidR="00A86298" w:rsidP="00A118B9" w:rsidRDefault="00A86298" w14:paraId="75622518" w14:textId="77777777">
      <w:pPr>
        <w:pStyle w:val="BodyTextbulletsss"/>
        <w:numPr>
          <w:ilvl w:val="0"/>
          <w:numId w:val="33"/>
        </w:numPr>
        <w:spacing w:line="276" w:lineRule="auto"/>
      </w:pPr>
      <w:r w:rsidRPr="00116537">
        <w:t xml:space="preserve">Addition of Class of Service for Land </w:t>
      </w:r>
      <w:proofErr w:type="gramStart"/>
      <w:r w:rsidRPr="00116537">
        <w:t>Acquisition;</w:t>
      </w:r>
      <w:proofErr w:type="gramEnd"/>
    </w:p>
    <w:p w:rsidRPr="00116537" w:rsidR="00A86298" w:rsidP="00A118B9" w:rsidRDefault="00A86298" w14:paraId="5135F4A4" w14:textId="77777777">
      <w:pPr>
        <w:pStyle w:val="BodyTextbulletsss"/>
        <w:numPr>
          <w:ilvl w:val="0"/>
          <w:numId w:val="33"/>
        </w:numPr>
        <w:spacing w:line="276" w:lineRule="auto"/>
        <w:rPr>
          <w:lang w:eastAsia="ja-JP"/>
        </w:rPr>
      </w:pPr>
      <w:r w:rsidRPr="00116537">
        <w:rPr>
          <w:lang w:eastAsia="ja-JP"/>
        </w:rPr>
        <w:t xml:space="preserve">Required timelines for the Annual Treasurer’s </w:t>
      </w:r>
      <w:proofErr w:type="gramStart"/>
      <w:r w:rsidRPr="00116537">
        <w:rPr>
          <w:lang w:eastAsia="ja-JP"/>
        </w:rPr>
        <w:t>Statement;</w:t>
      </w:r>
      <w:proofErr w:type="gramEnd"/>
    </w:p>
    <w:p w:rsidR="00A86298" w:rsidP="00A118B9" w:rsidRDefault="00A86298" w14:paraId="1DF71936" w14:textId="77777777">
      <w:pPr>
        <w:pStyle w:val="BodyTextbulletsss"/>
        <w:numPr>
          <w:ilvl w:val="0"/>
          <w:numId w:val="33"/>
        </w:numPr>
        <w:spacing w:line="276" w:lineRule="auto"/>
        <w:rPr>
          <w:lang w:eastAsia="ja-JP"/>
        </w:rPr>
      </w:pPr>
      <w:r w:rsidRPr="00116537">
        <w:rPr>
          <w:lang w:eastAsia="ja-JP"/>
        </w:rPr>
        <w:t>Addition of requirements for Local Service Policies</w:t>
      </w:r>
      <w:r>
        <w:rPr>
          <w:lang w:eastAsia="ja-JP"/>
        </w:rPr>
        <w:t>; and</w:t>
      </w:r>
    </w:p>
    <w:p w:rsidRPr="00116537" w:rsidR="00A86298" w:rsidP="00A118B9" w:rsidRDefault="00A86298" w14:paraId="2B8EFA18" w14:textId="77777777">
      <w:pPr>
        <w:pStyle w:val="BodyTextbulletsss"/>
        <w:numPr>
          <w:ilvl w:val="0"/>
          <w:numId w:val="33"/>
        </w:numPr>
        <w:spacing w:line="276" w:lineRule="auto"/>
        <w:rPr>
          <w:lang w:eastAsia="ja-JP"/>
        </w:rPr>
      </w:pPr>
      <w:r w:rsidRPr="00116537">
        <w:rPr>
          <w:lang w:eastAsia="ja-JP"/>
        </w:rPr>
        <w:t>Requirement to provide documents to the Minister</w:t>
      </w:r>
      <w:r>
        <w:rPr>
          <w:lang w:eastAsia="ja-JP"/>
        </w:rPr>
        <w:t>.</w:t>
      </w:r>
    </w:p>
    <w:p w:rsidR="00DB1469" w:rsidP="00A86298" w:rsidRDefault="00A86298" w14:paraId="38C664D1" w14:textId="5800C5F0">
      <w:pPr>
        <w:pStyle w:val="Heading3"/>
        <w:numPr>
          <w:ilvl w:val="0"/>
          <w:numId w:val="0"/>
        </w:numPr>
        <w:ind w:left="850" w:hanging="850"/>
        <w:rPr>
          <w:lang w:val="en-CA"/>
        </w:rPr>
      </w:pPr>
      <w:bookmarkStart w:name="_Toc213259768" w:id="46"/>
      <w:bookmarkStart w:name="_Toc213674188" w:id="47"/>
      <w:r>
        <w:rPr>
          <w:lang w:val="en-CA"/>
        </w:rPr>
        <w:t>C.1.1</w:t>
      </w:r>
      <w:r>
        <w:rPr>
          <w:lang w:val="en-CA"/>
        </w:rPr>
        <w:tab/>
      </w:r>
      <w:r>
        <w:rPr>
          <w:lang w:val="en-CA"/>
        </w:rPr>
        <w:t>Addition of Class of Service for Land Acquisition</w:t>
      </w:r>
      <w:bookmarkEnd w:id="46"/>
      <w:bookmarkEnd w:id="47"/>
    </w:p>
    <w:p w:rsidRPr="00B167B1" w:rsidR="00B167B1" w:rsidP="00B167B1" w:rsidRDefault="00B167B1" w14:paraId="64014F8C" w14:textId="77777777">
      <w:pPr>
        <w:pStyle w:val="BodyText125"/>
        <w:rPr>
          <w:b/>
          <w:bCs/>
          <w:lang w:val="en-CA" w:eastAsia="ja-JP"/>
        </w:rPr>
      </w:pPr>
      <w:r w:rsidRPr="00B167B1">
        <w:rPr>
          <w:b/>
          <w:bCs/>
          <w:lang w:val="en-CA" w:eastAsia="ja-JP"/>
        </w:rPr>
        <w:t>Background Context</w:t>
      </w:r>
    </w:p>
    <w:p w:rsidRPr="00B167B1" w:rsidR="00B167B1" w:rsidP="00B167B1" w:rsidRDefault="00B167B1" w14:paraId="2155ABE4" w14:textId="77777777">
      <w:pPr>
        <w:pStyle w:val="BodyText125"/>
        <w:rPr>
          <w:lang w:val="en-CA" w:eastAsia="ja-JP"/>
        </w:rPr>
      </w:pPr>
      <w:r w:rsidRPr="00B167B1">
        <w:rPr>
          <w:lang w:val="en-CA" w:eastAsia="ja-JP"/>
        </w:rPr>
        <w:t>In preparing the D.C. calculations as part of a D.C. background study, most services</w:t>
      </w:r>
      <w:r w:rsidRPr="00B167B1">
        <w:rPr>
          <w:vertAlign w:val="superscript"/>
          <w:lang w:val="en-CA" w:eastAsia="ja-JP"/>
        </w:rPr>
        <w:footnoteReference w:id="2"/>
      </w:r>
      <w:r w:rsidRPr="00B167B1">
        <w:rPr>
          <w:lang w:val="en-CA" w:eastAsia="ja-JP"/>
        </w:rPr>
        <w:t xml:space="preserve"> require a Level of Service calculation to be undertaken, as the D.C.A. requires that the increase in need for service must not exceed the historical Level of Service when determining the charge.  This requirement is set out in Section 5(1) 4 of the D.C.A. and Section 4 of Ontario Regulation 82/98.  The regulation requires that the Level of Service be calculated by identifying quantity and quality measures of service.  These measures have generally been interpreted to reflect the quantity of capital assets used to provide the service and the current replacement value (i.e. quality) of the capital assets.  The combination of the measures results in the per capita historical replacement value, that when applied to the forecast population, provides the total D.C. eligible amount that can be included in the D.C. calculations for recovery.</w:t>
      </w:r>
    </w:p>
    <w:p w:rsidRPr="00B167B1" w:rsidR="00B167B1" w:rsidP="00B167B1" w:rsidRDefault="00B167B1" w14:paraId="6EB0113B" w14:textId="77777777">
      <w:pPr>
        <w:pStyle w:val="BodyText125"/>
        <w:rPr>
          <w:lang w:val="en-CA" w:eastAsia="ja-JP"/>
        </w:rPr>
      </w:pPr>
      <w:r w:rsidRPr="00B167B1">
        <w:rPr>
          <w:lang w:val="en-CA" w:eastAsia="ja-JP"/>
        </w:rPr>
        <w:t xml:space="preserve">In determining the replacement value (i.e. quality) of the assets, the scope of capital costs is consistent with definition in subsection 5(3) of the D.C.A.  The D.C.A. defines capital costs to include “costs to acquire land or an interest in land, including a leasehold interest”.  Compliance with the D.C.A. requires that the scope of capital costs included in the increase and need for service and the historical Level of Service should be same.  As such, the historical Level of Service calculations commonly include the value of land.  Over the past few years, the development community has raised concerns regarding the inclusion of land in the required Level of Service calculations when there are no future land costs identified.  The increase in the value of land, and all </w:t>
      </w:r>
      <w:r w:rsidRPr="00B167B1">
        <w:rPr>
          <w:lang w:val="en-CA" w:eastAsia="ja-JP"/>
        </w:rPr>
        <w:t>other infrastructure, has led to increases in the D.C. eligible amount that can be included in D.C. calculations.</w:t>
      </w:r>
    </w:p>
    <w:p w:rsidRPr="00B167B1" w:rsidR="00B167B1" w:rsidP="00B167B1" w:rsidRDefault="00B167B1" w14:paraId="7392089B" w14:textId="77777777">
      <w:pPr>
        <w:pStyle w:val="BodyText125"/>
        <w:rPr>
          <w:b/>
          <w:bCs/>
          <w:lang w:val="en-CA" w:eastAsia="ja-JP"/>
        </w:rPr>
      </w:pPr>
      <w:r w:rsidRPr="00B167B1">
        <w:rPr>
          <w:b/>
          <w:bCs/>
          <w:lang w:val="en-CA" w:eastAsia="ja-JP"/>
        </w:rPr>
        <w:t>Proposed Changes</w:t>
      </w:r>
    </w:p>
    <w:p w:rsidRPr="00B167B1" w:rsidR="00B167B1" w:rsidP="00B167B1" w:rsidRDefault="00B167B1" w14:paraId="44610C08" w14:textId="77777777">
      <w:pPr>
        <w:pStyle w:val="BodyText125"/>
        <w:rPr>
          <w:lang w:val="en-CA" w:eastAsia="ja-JP"/>
        </w:rPr>
      </w:pPr>
      <w:r w:rsidRPr="00B167B1">
        <w:rPr>
          <w:lang w:val="en-CA" w:eastAsia="ja-JP"/>
        </w:rPr>
        <w:t>The legislative proposal is to include land acquisition as a separate class of service</w:t>
      </w:r>
      <w:r w:rsidRPr="00B167B1">
        <w:rPr>
          <w:vertAlign w:val="superscript"/>
          <w:lang w:val="en-CA" w:eastAsia="ja-JP"/>
        </w:rPr>
        <w:footnoteReference w:id="3"/>
      </w:r>
      <w:r w:rsidRPr="00B167B1">
        <w:rPr>
          <w:lang w:val="en-CA" w:eastAsia="ja-JP"/>
        </w:rPr>
        <w:t>.  Under this proposal, anticipated land acquisition capital needs would be grouped together for the purposes of the D.C. calculations.  Land acquisition capital needs would also be excluded from the historical Level of Service restrictions.</w:t>
      </w:r>
    </w:p>
    <w:p w:rsidRPr="00B167B1" w:rsidR="00B167B1" w:rsidP="00B167B1" w:rsidRDefault="00B167B1" w14:paraId="5A177422" w14:textId="4D2F33FC">
      <w:pPr>
        <w:pStyle w:val="BodyText125"/>
        <w:rPr>
          <w:lang w:val="en-CA" w:eastAsia="ja-JP"/>
        </w:rPr>
      </w:pPr>
      <w:r w:rsidRPr="00B167B1">
        <w:rPr>
          <w:lang w:val="en-CA" w:eastAsia="ja-JP"/>
        </w:rPr>
        <w:t>In identifying the land acquisition needs by service</w:t>
      </w:r>
      <w:r w:rsidR="00DA4DBF">
        <w:rPr>
          <w:lang w:val="en-CA" w:eastAsia="ja-JP"/>
        </w:rPr>
        <w:t>,</w:t>
      </w:r>
      <w:r w:rsidRPr="00B167B1">
        <w:rPr>
          <w:lang w:val="en-CA" w:eastAsia="ja-JP"/>
        </w:rPr>
        <w:t xml:space="preserve"> the proposal restricts the anticipated capital costs for land to 10 years for all services except for the following:</w:t>
      </w:r>
    </w:p>
    <w:p w:rsidRPr="00B167B1" w:rsidR="00B167B1" w:rsidP="00A118B9" w:rsidRDefault="00B167B1" w14:paraId="50CF2566" w14:textId="77777777">
      <w:pPr>
        <w:pStyle w:val="BodyTextbullets125"/>
        <w:rPr>
          <w:lang w:val="en-CA" w:eastAsia="ja-JP"/>
        </w:rPr>
      </w:pPr>
      <w:proofErr w:type="gramStart"/>
      <w:r w:rsidRPr="00B167B1">
        <w:rPr>
          <w:lang w:val="en-CA" w:eastAsia="ja-JP"/>
        </w:rPr>
        <w:t>Water;</w:t>
      </w:r>
      <w:proofErr w:type="gramEnd"/>
    </w:p>
    <w:p w:rsidRPr="00B167B1" w:rsidR="00B167B1" w:rsidP="00A118B9" w:rsidRDefault="00B167B1" w14:paraId="35DAAD38" w14:textId="77777777">
      <w:pPr>
        <w:pStyle w:val="BodyTextbullets125"/>
        <w:rPr>
          <w:lang w:val="en-CA" w:eastAsia="ja-JP"/>
        </w:rPr>
      </w:pPr>
      <w:proofErr w:type="gramStart"/>
      <w:r w:rsidRPr="00B167B1">
        <w:rPr>
          <w:lang w:val="en-CA" w:eastAsia="ja-JP"/>
        </w:rPr>
        <w:t>Wastewater;</w:t>
      </w:r>
      <w:proofErr w:type="gramEnd"/>
    </w:p>
    <w:p w:rsidRPr="00B167B1" w:rsidR="00B167B1" w:rsidP="00A118B9" w:rsidRDefault="00B167B1" w14:paraId="21341E27" w14:textId="77777777">
      <w:pPr>
        <w:pStyle w:val="BodyTextbullets125"/>
        <w:rPr>
          <w:lang w:val="en-CA" w:eastAsia="ja-JP"/>
        </w:rPr>
      </w:pPr>
      <w:proofErr w:type="gramStart"/>
      <w:r w:rsidRPr="00B167B1">
        <w:rPr>
          <w:lang w:val="en-CA" w:eastAsia="ja-JP"/>
        </w:rPr>
        <w:t>Stormwater;</w:t>
      </w:r>
      <w:proofErr w:type="gramEnd"/>
    </w:p>
    <w:p w:rsidRPr="00B167B1" w:rsidR="00B167B1" w:rsidP="00A118B9" w:rsidRDefault="00B167B1" w14:paraId="67758BB7" w14:textId="77777777">
      <w:pPr>
        <w:pStyle w:val="BodyTextbullets125"/>
        <w:rPr>
          <w:lang w:val="en-CA" w:eastAsia="ja-JP"/>
        </w:rPr>
      </w:pPr>
      <w:r w:rsidRPr="00B167B1">
        <w:rPr>
          <w:lang w:val="en-CA" w:eastAsia="ja-JP"/>
        </w:rPr>
        <w:t xml:space="preserve">Service related to a </w:t>
      </w:r>
      <w:proofErr w:type="gramStart"/>
      <w:r w:rsidRPr="00B167B1">
        <w:rPr>
          <w:lang w:val="en-CA" w:eastAsia="ja-JP"/>
        </w:rPr>
        <w:t>Highway;</w:t>
      </w:r>
      <w:proofErr w:type="gramEnd"/>
    </w:p>
    <w:p w:rsidRPr="00B167B1" w:rsidR="00B167B1" w:rsidP="00A118B9" w:rsidRDefault="00B167B1" w14:paraId="237DEB9C" w14:textId="77777777">
      <w:pPr>
        <w:pStyle w:val="BodyTextbullets125"/>
        <w:rPr>
          <w:lang w:val="en-CA" w:eastAsia="ja-JP"/>
        </w:rPr>
      </w:pPr>
      <w:proofErr w:type="gramStart"/>
      <w:r w:rsidRPr="00B167B1">
        <w:rPr>
          <w:lang w:val="en-CA" w:eastAsia="ja-JP"/>
        </w:rPr>
        <w:t>Electrical;</w:t>
      </w:r>
      <w:proofErr w:type="gramEnd"/>
    </w:p>
    <w:p w:rsidRPr="00B167B1" w:rsidR="00B167B1" w:rsidP="00A118B9" w:rsidRDefault="00B167B1" w14:paraId="30C48A60" w14:textId="77777777">
      <w:pPr>
        <w:pStyle w:val="BodyTextbullets125"/>
        <w:rPr>
          <w:lang w:val="en-CA" w:eastAsia="ja-JP"/>
        </w:rPr>
      </w:pPr>
      <w:proofErr w:type="gramStart"/>
      <w:r w:rsidRPr="00B167B1">
        <w:rPr>
          <w:lang w:val="en-CA" w:eastAsia="ja-JP"/>
        </w:rPr>
        <w:t>Transit;</w:t>
      </w:r>
      <w:proofErr w:type="gramEnd"/>
    </w:p>
    <w:p w:rsidRPr="00B167B1" w:rsidR="00B167B1" w:rsidP="00A118B9" w:rsidRDefault="00B167B1" w14:paraId="7EFD6262" w14:textId="77777777">
      <w:pPr>
        <w:pStyle w:val="BodyTextbullets125"/>
        <w:rPr>
          <w:lang w:val="en-CA" w:eastAsia="ja-JP"/>
        </w:rPr>
      </w:pPr>
      <w:r w:rsidRPr="00B167B1">
        <w:rPr>
          <w:lang w:val="en-CA" w:eastAsia="ja-JP"/>
        </w:rPr>
        <w:t>Police; and</w:t>
      </w:r>
    </w:p>
    <w:p w:rsidRPr="00B167B1" w:rsidR="00B167B1" w:rsidP="00A118B9" w:rsidRDefault="00B167B1" w14:paraId="59B43DD0" w14:textId="77777777">
      <w:pPr>
        <w:pStyle w:val="BodyTextbullets125"/>
        <w:rPr>
          <w:lang w:val="en-CA" w:eastAsia="ja-JP"/>
        </w:rPr>
      </w:pPr>
      <w:r w:rsidRPr="00B167B1">
        <w:rPr>
          <w:lang w:val="en-CA" w:eastAsia="ja-JP"/>
        </w:rPr>
        <w:t>Fire.</w:t>
      </w:r>
    </w:p>
    <w:p w:rsidRPr="00B167B1" w:rsidR="00B167B1" w:rsidP="00B167B1" w:rsidRDefault="00B167B1" w14:paraId="72B44A46" w14:textId="081C2AC5">
      <w:pPr>
        <w:pStyle w:val="BodyText125"/>
        <w:rPr>
          <w:lang w:val="en-CA" w:eastAsia="ja-JP"/>
        </w:rPr>
      </w:pPr>
      <w:r w:rsidRPr="00B167B1">
        <w:rPr>
          <w:lang w:val="en-CA" w:eastAsia="ja-JP"/>
        </w:rPr>
        <w:t xml:space="preserve">As land acquisition will be </w:t>
      </w:r>
      <w:r w:rsidRPr="00560C63">
        <w:rPr>
          <w:lang w:val="en-CA" w:eastAsia="ja-JP"/>
        </w:rPr>
        <w:t>established as a class of service, municipalities will be required to establish a separate reserve fund for these capital costs.  As</w:t>
      </w:r>
      <w:r w:rsidRPr="00B167B1">
        <w:rPr>
          <w:lang w:val="en-CA" w:eastAsia="ja-JP"/>
        </w:rPr>
        <w:t xml:space="preserve"> such, funds would be segregated for this purpose only to be used for land costs.  </w:t>
      </w:r>
      <w:proofErr w:type="gramStart"/>
      <w:r w:rsidRPr="00B167B1">
        <w:rPr>
          <w:lang w:val="en-CA" w:eastAsia="ja-JP"/>
        </w:rPr>
        <w:t>Similar to</w:t>
      </w:r>
      <w:proofErr w:type="gramEnd"/>
      <w:r w:rsidRPr="00B167B1">
        <w:rPr>
          <w:lang w:val="en-CA" w:eastAsia="ja-JP"/>
        </w:rPr>
        <w:t xml:space="preserve"> other reserve funds, monies in this reserve fund can be borrowed and repaid, with interest.  With respect to credits</w:t>
      </w:r>
      <w:r w:rsidR="008035B1">
        <w:rPr>
          <w:lang w:val="en-CA" w:eastAsia="ja-JP"/>
        </w:rPr>
        <w:t>,</w:t>
      </w:r>
      <w:r w:rsidRPr="00B167B1">
        <w:rPr>
          <w:lang w:val="en-CA" w:eastAsia="ja-JP"/>
        </w:rPr>
        <w:t xml:space="preserve"> municipalities will need to ensure appropriate accounting of credits for land separately from credits for other applicable services.</w:t>
      </w:r>
    </w:p>
    <w:p w:rsidRPr="00560C63" w:rsidR="00B167B1" w:rsidP="00B167B1" w:rsidRDefault="00B167B1" w14:paraId="099246FC" w14:textId="77777777">
      <w:pPr>
        <w:pStyle w:val="BodyText125"/>
        <w:rPr>
          <w:lang w:val="en-CA" w:eastAsia="ja-JP"/>
        </w:rPr>
      </w:pPr>
      <w:r w:rsidRPr="00B167B1">
        <w:rPr>
          <w:lang w:val="en-CA" w:eastAsia="ja-JP"/>
        </w:rPr>
        <w:t xml:space="preserve">Section 35 of the D.C.A. is amended to add an exception to the use of monies in established reserve funds.  This section states that monies in a reserve fund can be used for land acquisition, however, they cannot be used for land acquisition if those </w:t>
      </w:r>
      <w:r w:rsidRPr="00560C63">
        <w:rPr>
          <w:lang w:val="en-CA" w:eastAsia="ja-JP"/>
        </w:rPr>
        <w:t>costs are to be paid for with the reserve fund established for land acquisition.</w:t>
      </w:r>
    </w:p>
    <w:p w:rsidRPr="00560C63" w:rsidR="00A86298" w:rsidP="001201BF" w:rsidRDefault="00965F91" w14:paraId="173D1920" w14:textId="24BBDD72">
      <w:pPr>
        <w:pStyle w:val="BoldHeading"/>
        <w:rPr>
          <w:lang w:val="en-CA" w:eastAsia="ja-JP"/>
        </w:rPr>
      </w:pPr>
      <w:r w:rsidRPr="00A118B9">
        <w:rPr>
          <w:lang w:val="en-CA" w:eastAsia="ja-JP"/>
        </w:rPr>
        <w:t xml:space="preserve">Potential </w:t>
      </w:r>
      <w:r w:rsidRPr="00560C63" w:rsidR="001201BF">
        <w:rPr>
          <w:lang w:val="en-CA" w:eastAsia="ja-JP"/>
        </w:rPr>
        <w:t xml:space="preserve">Impact on D.C. </w:t>
      </w:r>
      <w:r w:rsidRPr="00560C63" w:rsidR="00F75AE1">
        <w:rPr>
          <w:lang w:val="en-CA" w:eastAsia="ja-JP"/>
        </w:rPr>
        <w:t xml:space="preserve">Background Study Update </w:t>
      </w:r>
    </w:p>
    <w:p w:rsidR="00DF52BF" w:rsidP="001201BF" w:rsidRDefault="001201BF" w14:paraId="7389E8B1" w14:textId="249273B8">
      <w:pPr>
        <w:pStyle w:val="BoldHeading"/>
        <w:rPr>
          <w:b w:val="0"/>
          <w:bCs/>
          <w:lang w:val="en-CA" w:eastAsia="ja-JP"/>
        </w:rPr>
      </w:pPr>
      <w:r w:rsidRPr="00560C63">
        <w:rPr>
          <w:b w:val="0"/>
          <w:bCs/>
          <w:lang w:val="en-CA" w:eastAsia="ja-JP"/>
        </w:rPr>
        <w:t>Based on th</w:t>
      </w:r>
      <w:r w:rsidRPr="00560C63" w:rsidR="00E730CC">
        <w:rPr>
          <w:b w:val="0"/>
          <w:bCs/>
          <w:lang w:val="en-CA" w:eastAsia="ja-JP"/>
        </w:rPr>
        <w:t xml:space="preserve">is proposed change, an analysis was </w:t>
      </w:r>
      <w:r w:rsidRPr="00560C63" w:rsidR="00DE5330">
        <w:rPr>
          <w:b w:val="0"/>
          <w:bCs/>
          <w:lang w:val="en-CA" w:eastAsia="ja-JP"/>
        </w:rPr>
        <w:t>conducted to assess the impact</w:t>
      </w:r>
      <w:r w:rsidRPr="00560C63" w:rsidR="00E730CC">
        <w:rPr>
          <w:b w:val="0"/>
          <w:bCs/>
          <w:lang w:val="en-CA" w:eastAsia="ja-JP"/>
        </w:rPr>
        <w:t xml:space="preserve"> on the parks and recreation D.C. calculation.  With respect to the level of service calculation, all land costs were removed from the s</w:t>
      </w:r>
      <w:r w:rsidRPr="00560C63" w:rsidR="00871369">
        <w:rPr>
          <w:b w:val="0"/>
          <w:bCs/>
          <w:lang w:val="en-CA" w:eastAsia="ja-JP"/>
        </w:rPr>
        <w:t>ervice standards.  This resulted in a decrease in the overall D.C. eligible amount from $</w:t>
      </w:r>
      <w:r w:rsidRPr="00A118B9" w:rsidR="008802B3">
        <w:rPr>
          <w:b w:val="0"/>
          <w:bCs/>
          <w:lang w:val="en-CA" w:eastAsia="ja-JP"/>
        </w:rPr>
        <w:t>147.</w:t>
      </w:r>
      <w:r w:rsidR="00993256">
        <w:rPr>
          <w:b w:val="0"/>
          <w:bCs/>
          <w:lang w:val="en-CA" w:eastAsia="ja-JP"/>
        </w:rPr>
        <w:t>79</w:t>
      </w:r>
      <w:r w:rsidRPr="00A118B9" w:rsidR="008802B3">
        <w:rPr>
          <w:b w:val="0"/>
          <w:bCs/>
          <w:lang w:val="en-CA" w:eastAsia="ja-JP"/>
        </w:rPr>
        <w:t xml:space="preserve"> million</w:t>
      </w:r>
      <w:r w:rsidRPr="00560C63" w:rsidR="00871369">
        <w:rPr>
          <w:b w:val="0"/>
          <w:bCs/>
          <w:lang w:val="en-CA" w:eastAsia="ja-JP"/>
        </w:rPr>
        <w:t xml:space="preserve"> to $</w:t>
      </w:r>
      <w:r w:rsidRPr="00A118B9" w:rsidR="00FB138B">
        <w:rPr>
          <w:b w:val="0"/>
          <w:bCs/>
          <w:lang w:val="en-CA" w:eastAsia="ja-JP"/>
        </w:rPr>
        <w:t>117.1</w:t>
      </w:r>
      <w:r w:rsidR="00883897">
        <w:rPr>
          <w:b w:val="0"/>
          <w:bCs/>
          <w:lang w:val="en-CA" w:eastAsia="ja-JP"/>
        </w:rPr>
        <w:t>0</w:t>
      </w:r>
      <w:r w:rsidRPr="00560C63" w:rsidR="00871369">
        <w:rPr>
          <w:b w:val="0"/>
          <w:bCs/>
          <w:lang w:val="en-CA" w:eastAsia="ja-JP"/>
        </w:rPr>
        <w:t xml:space="preserve"> million.  The summary of the updated level of service calculations </w:t>
      </w:r>
      <w:r w:rsidRPr="00A118B9" w:rsidR="00CD40DF">
        <w:rPr>
          <w:b w:val="0"/>
          <w:bCs/>
          <w:lang w:val="en-CA" w:eastAsia="ja-JP"/>
        </w:rPr>
        <w:t>is provided in Tables C-1 through C-3 (note: there is no impact to service standards which do not include any land.  For reference, these are provided in Appendix B)</w:t>
      </w:r>
      <w:r w:rsidRPr="00560C63" w:rsidR="00871369">
        <w:rPr>
          <w:b w:val="0"/>
          <w:bCs/>
          <w:lang w:val="en-CA" w:eastAsia="ja-JP"/>
        </w:rPr>
        <w:t>.</w:t>
      </w:r>
      <w:r w:rsidRPr="00560C63" w:rsidR="00DF52BF">
        <w:rPr>
          <w:b w:val="0"/>
          <w:bCs/>
          <w:lang w:val="en-CA" w:eastAsia="ja-JP"/>
        </w:rPr>
        <w:t xml:space="preserve">  Based on the </w:t>
      </w:r>
      <w:r w:rsidRPr="00560C63" w:rsidR="008314DA">
        <w:rPr>
          <w:b w:val="0"/>
          <w:bCs/>
          <w:lang w:val="en-CA" w:eastAsia="ja-JP"/>
        </w:rPr>
        <w:t>need</w:t>
      </w:r>
      <w:r w:rsidR="008314DA">
        <w:rPr>
          <w:b w:val="0"/>
          <w:bCs/>
          <w:lang w:val="en-CA" w:eastAsia="ja-JP"/>
        </w:rPr>
        <w:t xml:space="preserve"> to include land as a class of service, </w:t>
      </w:r>
      <w:r w:rsidR="000776CE">
        <w:rPr>
          <w:b w:val="0"/>
          <w:bCs/>
          <w:lang w:val="en-CA" w:eastAsia="ja-JP"/>
        </w:rPr>
        <w:t>Tables C-4 and C-5</w:t>
      </w:r>
      <w:r w:rsidR="008314DA">
        <w:rPr>
          <w:b w:val="0"/>
          <w:bCs/>
          <w:lang w:val="en-CA" w:eastAsia="ja-JP"/>
        </w:rPr>
        <w:t xml:space="preserve"> provide the updated capital sheets.  </w:t>
      </w:r>
      <w:r w:rsidR="00D5200B">
        <w:rPr>
          <w:b w:val="0"/>
          <w:bCs/>
          <w:lang w:val="en-CA" w:eastAsia="ja-JP"/>
        </w:rPr>
        <w:t xml:space="preserve">Given that the capital costs </w:t>
      </w:r>
      <w:r w:rsidR="00803459">
        <w:rPr>
          <w:b w:val="0"/>
          <w:bCs/>
          <w:lang w:val="en-CA" w:eastAsia="ja-JP"/>
        </w:rPr>
        <w:t>of $</w:t>
      </w:r>
      <w:r w:rsidR="007C1DB6">
        <w:rPr>
          <w:b w:val="0"/>
          <w:bCs/>
          <w:lang w:val="en-CA" w:eastAsia="ja-JP"/>
        </w:rPr>
        <w:t>98.78</w:t>
      </w:r>
      <w:r w:rsidR="00803459">
        <w:rPr>
          <w:b w:val="0"/>
          <w:bCs/>
          <w:lang w:val="en-CA" w:eastAsia="ja-JP"/>
        </w:rPr>
        <w:t xml:space="preserve"> million </w:t>
      </w:r>
      <w:r w:rsidR="00D5200B">
        <w:rPr>
          <w:b w:val="0"/>
          <w:bCs/>
          <w:lang w:val="en-CA" w:eastAsia="ja-JP"/>
        </w:rPr>
        <w:t>are still within the D.C.-eligible amount</w:t>
      </w:r>
      <w:r w:rsidR="002E5B9E">
        <w:rPr>
          <w:b w:val="0"/>
          <w:bCs/>
          <w:lang w:val="en-CA" w:eastAsia="ja-JP"/>
        </w:rPr>
        <w:t xml:space="preserve"> of $117.1</w:t>
      </w:r>
      <w:r w:rsidR="00883897">
        <w:rPr>
          <w:b w:val="0"/>
          <w:bCs/>
          <w:lang w:val="en-CA" w:eastAsia="ja-JP"/>
        </w:rPr>
        <w:t>0</w:t>
      </w:r>
      <w:r w:rsidR="002E5B9E">
        <w:rPr>
          <w:b w:val="0"/>
          <w:bCs/>
          <w:lang w:val="en-CA" w:eastAsia="ja-JP"/>
        </w:rPr>
        <w:t xml:space="preserve"> million</w:t>
      </w:r>
      <w:r w:rsidR="00D5200B">
        <w:rPr>
          <w:b w:val="0"/>
          <w:bCs/>
          <w:lang w:val="en-CA" w:eastAsia="ja-JP"/>
        </w:rPr>
        <w:t xml:space="preserve">, there is no impact </w:t>
      </w:r>
      <w:r w:rsidR="00D97DB4">
        <w:rPr>
          <w:b w:val="0"/>
          <w:bCs/>
          <w:lang w:val="en-CA" w:eastAsia="ja-JP"/>
        </w:rPr>
        <w:t>on</w:t>
      </w:r>
      <w:r w:rsidR="00D5200B">
        <w:rPr>
          <w:b w:val="0"/>
          <w:bCs/>
          <w:lang w:val="en-CA" w:eastAsia="ja-JP"/>
        </w:rPr>
        <w:t xml:space="preserve"> the overall </w:t>
      </w:r>
      <w:r w:rsidR="00D97DB4">
        <w:rPr>
          <w:b w:val="0"/>
          <w:bCs/>
          <w:lang w:val="en-CA" w:eastAsia="ja-JP"/>
        </w:rPr>
        <w:t xml:space="preserve">quantum of the </w:t>
      </w:r>
      <w:r w:rsidR="00D5200B">
        <w:rPr>
          <w:b w:val="0"/>
          <w:bCs/>
          <w:lang w:val="en-CA" w:eastAsia="ja-JP"/>
        </w:rPr>
        <w:t xml:space="preserve">D.C. calculation with the removal of land </w:t>
      </w:r>
      <w:r w:rsidR="00956DD6">
        <w:rPr>
          <w:b w:val="0"/>
          <w:bCs/>
          <w:lang w:val="en-CA" w:eastAsia="ja-JP"/>
        </w:rPr>
        <w:t xml:space="preserve">from the level of service calculations.  </w:t>
      </w:r>
      <w:r w:rsidR="00D97DB4">
        <w:rPr>
          <w:b w:val="0"/>
          <w:bCs/>
          <w:lang w:val="en-CA" w:eastAsia="ja-JP"/>
        </w:rPr>
        <w:t>Note, t</w:t>
      </w:r>
      <w:r w:rsidR="00956DD6">
        <w:rPr>
          <w:b w:val="0"/>
          <w:bCs/>
          <w:lang w:val="en-CA" w:eastAsia="ja-JP"/>
        </w:rPr>
        <w:t xml:space="preserve">he costs related to land </w:t>
      </w:r>
      <w:r w:rsidR="00956DD6">
        <w:rPr>
          <w:b w:val="0"/>
          <w:bCs/>
          <w:lang w:val="en-CA" w:eastAsia="ja-JP"/>
        </w:rPr>
        <w:t xml:space="preserve">would be recovered through the class of service related to land and </w:t>
      </w:r>
      <w:r w:rsidR="00D97DB4">
        <w:rPr>
          <w:b w:val="0"/>
          <w:bCs/>
          <w:lang w:val="en-CA" w:eastAsia="ja-JP"/>
        </w:rPr>
        <w:t xml:space="preserve">would need to be deposited in a separate reserve fund.  </w:t>
      </w:r>
    </w:p>
    <w:p w:rsidR="00D97DB4" w:rsidRDefault="00D97DB4" w14:paraId="6FB22FD2" w14:textId="77777777">
      <w:pPr>
        <w:rPr>
          <w:b/>
          <w:bCs/>
          <w:lang w:val="en-CA" w:eastAsia="ja-JP"/>
        </w:rPr>
        <w:sectPr w:rsidR="00D97DB4" w:rsidSect="00AB6286">
          <w:headerReference w:type="default" r:id="rId88"/>
          <w:footerReference w:type="default" r:id="rId89"/>
          <w:headerReference w:type="first" r:id="rId90"/>
          <w:footerReference w:type="first" r:id="rId91"/>
          <w:footnotePr>
            <w:numRestart w:val="eachPage"/>
          </w:footnotePr>
          <w:pgSz w:w="12240" w:h="20160" w:orient="portrait" w:code="5"/>
          <w:pgMar w:top="1440" w:right="1440" w:bottom="1440" w:left="1440" w:header="432" w:footer="619" w:gutter="0"/>
          <w:cols w:space="708"/>
          <w:titlePg/>
          <w:docGrid w:linePitch="360"/>
        </w:sectPr>
      </w:pPr>
      <w:r>
        <w:rPr>
          <w:b/>
          <w:bCs/>
          <w:lang w:val="en-CA" w:eastAsia="ja-JP"/>
        </w:rPr>
        <w:br w:type="page"/>
      </w:r>
    </w:p>
    <w:p w:rsidR="00D97DB4" w:rsidP="00D97DB4" w:rsidRDefault="00D97DB4" w14:paraId="2993161D" w14:textId="12D1654D">
      <w:pPr>
        <w:pStyle w:val="FigureTableTitles"/>
        <w:rPr>
          <w:lang w:val="en-CA"/>
        </w:rPr>
      </w:pPr>
      <w:r>
        <w:rPr>
          <w:lang w:val="en-CA"/>
        </w:rPr>
        <w:t>Table C-1</w:t>
      </w:r>
    </w:p>
    <w:p w:rsidR="00D97DB4" w:rsidP="00D97DB4" w:rsidRDefault="00D97DB4" w14:paraId="0AC4291C" w14:textId="24E9AB0C">
      <w:pPr>
        <w:pStyle w:val="FigureTableTitles"/>
        <w:rPr>
          <w:lang w:val="en-CA"/>
        </w:rPr>
      </w:pPr>
      <w:r>
        <w:rPr>
          <w:lang w:val="en-CA"/>
        </w:rPr>
        <w:t xml:space="preserve">Summary of Service Standards as per the Development Charges Act, 1997, as Amended </w:t>
      </w:r>
      <w:r w:rsidR="00D91A73">
        <w:rPr>
          <w:lang w:val="en-CA"/>
        </w:rPr>
        <w:t xml:space="preserve">(Including Proposed </w:t>
      </w:r>
      <w:r w:rsidR="003A5716">
        <w:rPr>
          <w:lang w:val="en-CA"/>
        </w:rPr>
        <w:t xml:space="preserve">Bill 60 </w:t>
      </w:r>
      <w:r w:rsidR="00D91A73">
        <w:rPr>
          <w:lang w:val="en-CA"/>
        </w:rPr>
        <w:t>Changes)</w:t>
      </w:r>
    </w:p>
    <w:p w:rsidR="00D97DB4" w:rsidP="00D97DB4" w:rsidRDefault="00D97DB4" w14:paraId="2269D118" w14:textId="77777777">
      <w:pPr>
        <w:pStyle w:val="FigureTableTitles"/>
        <w:rPr>
          <w:lang w:val="en-CA"/>
        </w:rPr>
      </w:pPr>
      <w:r>
        <w:rPr>
          <w:lang w:val="en-CA"/>
        </w:rPr>
        <w:t>For Services Revised in this 2025 Update Study (2023$)</w:t>
      </w:r>
    </w:p>
    <w:p w:rsidR="00D91A73" w:rsidP="00D91A73" w:rsidRDefault="00E023D5" w14:paraId="396F9DCA" w14:textId="39C9AE3E">
      <w:pPr>
        <w:pStyle w:val="BodyText125"/>
        <w:rPr>
          <w:lang w:val="en-CA"/>
        </w:rPr>
      </w:pPr>
      <w:r w:rsidRPr="00E023D5">
        <w:rPr>
          <w:lang w:val="en-CA"/>
        </w:rPr>
        <w:t xml:space="preserve"> </w:t>
      </w:r>
      <w:r w:rsidRPr="00E023D5">
        <w:rPr>
          <w:noProof/>
        </w:rPr>
        <w:drawing>
          <wp:inline distT="0" distB="0" distL="0" distR="0" wp14:anchorId="2E2EC821" wp14:editId="1E3FDC9C">
            <wp:extent cx="10972800" cy="2424430"/>
            <wp:effectExtent l="0" t="0" r="0" b="0"/>
            <wp:docPr id="730522758" name="Picture 14" descr="Summary of Service Standards as per the Development Charges Act, 1997, as Amended (Including Proposed Bill 60 Changes)&#10;For Services Revised in this 2025 Update Study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22758" name="Picture 14" descr="Summary of Service Standards as per the Development Charges Act, 1997, as Amended (Including Proposed Bill 60 Changes)&#10;For Services Revised in this 2025 Update Study (2023$)&#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72800" cy="2424430"/>
                    </a:xfrm>
                    <a:prstGeom prst="rect">
                      <a:avLst/>
                    </a:prstGeom>
                    <a:noFill/>
                    <a:ln>
                      <a:noFill/>
                    </a:ln>
                  </pic:spPr>
                </pic:pic>
              </a:graphicData>
            </a:graphic>
          </wp:inline>
        </w:drawing>
      </w:r>
    </w:p>
    <w:p w:rsidR="00D91A73" w:rsidRDefault="00D91A73" w14:paraId="749D5D6F" w14:textId="77777777">
      <w:pPr>
        <w:rPr>
          <w:rFonts w:eastAsia="Times New Roman"/>
          <w:lang w:val="en-CA"/>
        </w:rPr>
      </w:pPr>
      <w:r>
        <w:rPr>
          <w:lang w:val="en-CA"/>
        </w:rPr>
        <w:br w:type="page"/>
      </w:r>
    </w:p>
    <w:p w:rsidR="003A5716" w:rsidP="003A5716" w:rsidRDefault="003A5716" w14:paraId="184855D3" w14:textId="580C3C0A">
      <w:pPr>
        <w:pStyle w:val="FigureTableTitles"/>
        <w:rPr>
          <w:lang w:val="en-CA"/>
        </w:rPr>
      </w:pPr>
      <w:r>
        <w:rPr>
          <w:lang w:val="en-CA"/>
        </w:rPr>
        <w:t>Table C-2</w:t>
      </w:r>
    </w:p>
    <w:p w:rsidR="003A5716" w:rsidP="003A5716" w:rsidRDefault="003A5716" w14:paraId="1B28A369" w14:textId="7B5BD055">
      <w:pPr>
        <w:pStyle w:val="FigureTableTitles"/>
        <w:rPr>
          <w:lang w:val="en-CA"/>
        </w:rPr>
      </w:pPr>
      <w:r>
        <w:rPr>
          <w:lang w:val="en-CA"/>
        </w:rPr>
        <w:t>City of Cambridge</w:t>
      </w:r>
    </w:p>
    <w:p w:rsidR="003A5716" w:rsidP="003A5716" w:rsidRDefault="003A5716" w14:paraId="18B0B54B" w14:textId="153D3AB6">
      <w:pPr>
        <w:pStyle w:val="FigureTableTitles"/>
        <w:rPr>
          <w:lang w:val="en-CA"/>
        </w:rPr>
      </w:pPr>
      <w:r>
        <w:rPr>
          <w:lang w:val="en-CA"/>
        </w:rPr>
        <w:t xml:space="preserve">Parkland Amenities Recreation Service Standard (Updated for Proposed Bill 60 Changes) </w:t>
      </w:r>
    </w:p>
    <w:p w:rsidR="00D91A73" w:rsidP="003A5716" w:rsidRDefault="008F0BAF" w14:paraId="3AA43E2F" w14:textId="5363D8C3">
      <w:pPr>
        <w:pStyle w:val="BodyText125"/>
        <w:jc w:val="center"/>
        <w:rPr>
          <w:lang w:val="en-CA"/>
        </w:rPr>
      </w:pPr>
      <w:r w:rsidRPr="008F0BAF">
        <w:rPr>
          <w:noProof/>
        </w:rPr>
        <w:drawing>
          <wp:inline distT="0" distB="0" distL="0" distR="0" wp14:anchorId="2E697DA6" wp14:editId="6212F3BC">
            <wp:extent cx="10972800" cy="4081145"/>
            <wp:effectExtent l="0" t="0" r="0" b="0"/>
            <wp:docPr id="937037247" name="Picture 8" descr="Parkland Amenities Recreation Service Standard (Updated for Proposed Bill 60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37247" name="Picture 8" descr="Parkland Amenities Recreation Service Standard (Updated for Proposed Bill 60 Changes)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972800" cy="4081145"/>
                    </a:xfrm>
                    <a:prstGeom prst="rect">
                      <a:avLst/>
                    </a:prstGeom>
                    <a:noFill/>
                    <a:ln>
                      <a:noFill/>
                    </a:ln>
                  </pic:spPr>
                </pic:pic>
              </a:graphicData>
            </a:graphic>
          </wp:inline>
        </w:drawing>
      </w:r>
    </w:p>
    <w:p w:rsidR="008F0BAF" w:rsidP="00A118B9" w:rsidRDefault="008F0BAF" w14:paraId="709226CD" w14:textId="38E38DD6">
      <w:pPr>
        <w:pStyle w:val="FigureTableTitles"/>
        <w:rPr>
          <w:lang w:val="en-CA"/>
        </w:rPr>
      </w:pPr>
      <w:r>
        <w:rPr>
          <w:lang w:val="en-CA"/>
        </w:rPr>
        <w:t>Table C-2 (Cont’d)</w:t>
      </w:r>
    </w:p>
    <w:p w:rsidR="008F0BAF" w:rsidP="003A5716" w:rsidRDefault="008F0BAF" w14:paraId="64C12F38" w14:textId="53F7AFE6">
      <w:pPr>
        <w:pStyle w:val="BodyText125"/>
        <w:jc w:val="center"/>
        <w:rPr>
          <w:lang w:val="en-CA"/>
        </w:rPr>
      </w:pPr>
      <w:r w:rsidRPr="008F0BAF">
        <w:rPr>
          <w:noProof/>
        </w:rPr>
        <w:drawing>
          <wp:inline distT="0" distB="0" distL="0" distR="0" wp14:anchorId="665F0D94" wp14:editId="4A866E87">
            <wp:extent cx="10972800" cy="3180715"/>
            <wp:effectExtent l="0" t="0" r="0" b="635"/>
            <wp:docPr id="158990103" name="Picture 9" descr="Parkland Amenities Recreation Service Standard (Updated for Proposed Bill 60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103" name="Picture 9" descr="Parkland Amenities Recreation Service Standard (Updated for Proposed Bill 60 Changes)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972800" cy="3180715"/>
                    </a:xfrm>
                    <a:prstGeom prst="rect">
                      <a:avLst/>
                    </a:prstGeom>
                    <a:noFill/>
                    <a:ln>
                      <a:noFill/>
                    </a:ln>
                  </pic:spPr>
                </pic:pic>
              </a:graphicData>
            </a:graphic>
          </wp:inline>
        </w:drawing>
      </w:r>
    </w:p>
    <w:p w:rsidR="008F0BAF" w:rsidRDefault="008F0BAF" w14:paraId="6023DDE0" w14:textId="77777777">
      <w:pPr>
        <w:rPr>
          <w:rFonts w:eastAsia="Times New Roman"/>
          <w:lang w:val="en-CA"/>
        </w:rPr>
      </w:pPr>
      <w:r>
        <w:rPr>
          <w:lang w:val="en-CA"/>
        </w:rPr>
        <w:br w:type="page"/>
      </w:r>
    </w:p>
    <w:p w:rsidR="008F0BAF" w:rsidP="008F0BAF" w:rsidRDefault="008F0BAF" w14:paraId="395383E5" w14:textId="07FD0787">
      <w:pPr>
        <w:pStyle w:val="FigureTableTitles"/>
        <w:rPr>
          <w:lang w:val="en-CA"/>
        </w:rPr>
      </w:pPr>
      <w:r>
        <w:rPr>
          <w:lang w:val="en-CA"/>
        </w:rPr>
        <w:t>Table C-3</w:t>
      </w:r>
    </w:p>
    <w:p w:rsidR="008F0BAF" w:rsidP="008F0BAF" w:rsidRDefault="008F0BAF" w14:paraId="369FDFD2" w14:textId="77777777">
      <w:pPr>
        <w:pStyle w:val="FigureTableTitles"/>
        <w:rPr>
          <w:lang w:val="en-CA"/>
        </w:rPr>
      </w:pPr>
      <w:r>
        <w:rPr>
          <w:lang w:val="en-CA"/>
        </w:rPr>
        <w:t>City of Cambridge</w:t>
      </w:r>
    </w:p>
    <w:p w:rsidR="008F0BAF" w:rsidP="008F0BAF" w:rsidRDefault="008F0BAF" w14:paraId="2E5A4E76" w14:textId="078C0882">
      <w:pPr>
        <w:pStyle w:val="FigureTableTitles"/>
        <w:rPr>
          <w:lang w:val="en-CA"/>
        </w:rPr>
      </w:pPr>
      <w:r>
        <w:rPr>
          <w:lang w:val="en-CA"/>
        </w:rPr>
        <w:t xml:space="preserve">Recreation Facilities Service Standard (Updated for Proposed Bill 60 Changes) </w:t>
      </w:r>
    </w:p>
    <w:p w:rsidR="00B3476E" w:rsidP="00B3476E" w:rsidRDefault="003C43B9" w14:paraId="40AE8FBA" w14:textId="398FBA99">
      <w:pPr>
        <w:pStyle w:val="BodyText125"/>
        <w:rPr>
          <w:lang w:val="en-CA"/>
        </w:rPr>
      </w:pPr>
      <w:r w:rsidRPr="003C43B9">
        <w:rPr>
          <w:noProof/>
        </w:rPr>
        <w:drawing>
          <wp:inline distT="0" distB="0" distL="0" distR="0" wp14:anchorId="291CEBD3" wp14:editId="4FE73822">
            <wp:extent cx="10972800" cy="4624705"/>
            <wp:effectExtent l="0" t="0" r="0" b="4445"/>
            <wp:docPr id="957626180" name="Picture 13" descr="Recreation Facilities Service Standard (Updated for Proposed Bill 60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26180" name="Picture 13" descr="Recreation Facilities Service Standard (Updated for Proposed Bill 60 Changes)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72800" cy="4624705"/>
                    </a:xfrm>
                    <a:prstGeom prst="rect">
                      <a:avLst/>
                    </a:prstGeom>
                    <a:noFill/>
                    <a:ln>
                      <a:noFill/>
                    </a:ln>
                  </pic:spPr>
                </pic:pic>
              </a:graphicData>
            </a:graphic>
          </wp:inline>
        </w:drawing>
      </w:r>
    </w:p>
    <w:p w:rsidR="003C43B9" w:rsidP="003C43B9" w:rsidRDefault="003C43B9" w14:paraId="5EFE6677" w14:textId="3368DEC6">
      <w:pPr>
        <w:pStyle w:val="FigureTableTitles"/>
        <w:rPr>
          <w:lang w:val="en-CA"/>
        </w:rPr>
      </w:pPr>
      <w:r>
        <w:rPr>
          <w:lang w:val="en-CA"/>
        </w:rPr>
        <w:t>Table C-3 (Cont’d)</w:t>
      </w:r>
    </w:p>
    <w:p w:rsidR="008F0BAF" w:rsidP="003A5716" w:rsidRDefault="007072D6" w14:paraId="3FC1A61A" w14:textId="489BC29C">
      <w:pPr>
        <w:pStyle w:val="BodyText125"/>
        <w:jc w:val="center"/>
        <w:rPr>
          <w:lang w:val="en-CA"/>
        </w:rPr>
      </w:pPr>
      <w:r w:rsidRPr="007072D6">
        <w:rPr>
          <w:noProof/>
        </w:rPr>
        <w:drawing>
          <wp:inline distT="0" distB="0" distL="0" distR="0" wp14:anchorId="061A5B6A" wp14:editId="286C3A70">
            <wp:extent cx="10972800" cy="4610735"/>
            <wp:effectExtent l="0" t="0" r="0" b="0"/>
            <wp:docPr id="403477524" name="Picture 10" descr="Recreation Facilities Service Standard (Updated for Proposed Bill 60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77524" name="Picture 10" descr="Recreation Facilities Service Standard (Updated for Proposed Bill 60 Changes)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972800" cy="4610735"/>
                    </a:xfrm>
                    <a:prstGeom prst="rect">
                      <a:avLst/>
                    </a:prstGeom>
                    <a:noFill/>
                    <a:ln>
                      <a:noFill/>
                    </a:ln>
                  </pic:spPr>
                </pic:pic>
              </a:graphicData>
            </a:graphic>
          </wp:inline>
        </w:drawing>
      </w:r>
    </w:p>
    <w:p w:rsidR="003C43B9" w:rsidP="003C43B9" w:rsidRDefault="003C43B9" w14:paraId="09CF2E8B" w14:textId="7EAB6DE4">
      <w:pPr>
        <w:pStyle w:val="FigureTableTitles"/>
        <w:rPr>
          <w:lang w:val="en-CA"/>
        </w:rPr>
      </w:pPr>
      <w:r>
        <w:rPr>
          <w:lang w:val="en-CA"/>
        </w:rPr>
        <w:t>Table C-4</w:t>
      </w:r>
    </w:p>
    <w:p w:rsidR="003C43B9" w:rsidP="003C43B9" w:rsidRDefault="003C43B9" w14:paraId="52C996E5" w14:textId="5384A34E">
      <w:pPr>
        <w:pStyle w:val="FigureTableTitles"/>
        <w:rPr>
          <w:lang w:val="en-CA"/>
        </w:rPr>
      </w:pPr>
      <w:r>
        <w:rPr>
          <w:lang w:val="en-CA"/>
        </w:rPr>
        <w:t>City of Cambridge</w:t>
      </w:r>
    </w:p>
    <w:p w:rsidR="003C43B9" w:rsidP="00AA4D47" w:rsidRDefault="00AA4D47" w14:paraId="349E4564" w14:textId="4B5F0E00">
      <w:pPr>
        <w:pStyle w:val="FigureTableTitles"/>
        <w:rPr>
          <w:lang w:val="en-CA"/>
        </w:rPr>
      </w:pPr>
      <w:r>
        <w:rPr>
          <w:lang w:val="en-CA" w:eastAsia="ja-JP"/>
        </w:rPr>
        <w:t xml:space="preserve">Parks and Recreation Services Capital Costs </w:t>
      </w:r>
      <w:r w:rsidR="003C43B9">
        <w:rPr>
          <w:lang w:val="en-CA"/>
        </w:rPr>
        <w:t>(Updated for Proposed Bill 60 Changes)</w:t>
      </w:r>
    </w:p>
    <w:p w:rsidR="003C43B9" w:rsidP="000F658A" w:rsidRDefault="004E7C3A" w14:paraId="7F4D91EA" w14:textId="5406088C">
      <w:pPr>
        <w:pStyle w:val="BodyText125"/>
        <w:jc w:val="center"/>
        <w:rPr>
          <w:lang w:val="en-CA"/>
        </w:rPr>
      </w:pPr>
      <w:r w:rsidRPr="004E7C3A">
        <w:rPr>
          <w:noProof/>
        </w:rPr>
        <w:drawing>
          <wp:inline distT="0" distB="0" distL="0" distR="0" wp14:anchorId="3CDA3782" wp14:editId="423BA5E8">
            <wp:extent cx="10705381" cy="4819280"/>
            <wp:effectExtent l="0" t="0" r="1270" b="635"/>
            <wp:docPr id="1455947191" name="Picture 6" descr="Parks and Recreation Services Capital Costs (Updated for Proposed Bill 60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47191" name="Picture 6" descr="Parks and Recreation Services Capital Costs (Updated for Proposed Bill 60 Chang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06612" cy="4819834"/>
                    </a:xfrm>
                    <a:prstGeom prst="rect">
                      <a:avLst/>
                    </a:prstGeom>
                    <a:noFill/>
                    <a:ln>
                      <a:noFill/>
                    </a:ln>
                  </pic:spPr>
                </pic:pic>
              </a:graphicData>
            </a:graphic>
          </wp:inline>
        </w:drawing>
      </w:r>
    </w:p>
    <w:p w:rsidR="004212AF" w:rsidP="004212AF" w:rsidRDefault="004212AF" w14:paraId="4C5B7C1E" w14:textId="5597E8E5">
      <w:pPr>
        <w:pStyle w:val="FigureTableTitles"/>
        <w:rPr>
          <w:lang w:val="en-CA"/>
        </w:rPr>
      </w:pPr>
      <w:r>
        <w:rPr>
          <w:lang w:val="en-CA"/>
        </w:rPr>
        <w:t>Table C-4 (Cont’d)</w:t>
      </w:r>
    </w:p>
    <w:p w:rsidR="004212AF" w:rsidP="004212AF" w:rsidRDefault="009F56EE" w14:paraId="0F1B61BC" w14:textId="025CB56B">
      <w:pPr>
        <w:pStyle w:val="BodyText125"/>
        <w:rPr>
          <w:lang w:val="en-CA"/>
        </w:rPr>
      </w:pPr>
      <w:r w:rsidRPr="009F56EE">
        <w:rPr>
          <w:noProof/>
        </w:rPr>
        <w:drawing>
          <wp:inline distT="0" distB="0" distL="0" distR="0" wp14:anchorId="3B334BC2" wp14:editId="1A5E6561">
            <wp:extent cx="10972800" cy="4939665"/>
            <wp:effectExtent l="0" t="0" r="0" b="0"/>
            <wp:docPr id="2124770852" name="Picture 7" descr="Parks and Recreation Services Capital Costs (Updated for Proposed Bill 60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70852" name="Picture 7" descr="Parks and Recreation Services Capital Costs (Updated for Proposed Bill 60 Change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972800" cy="4939665"/>
                    </a:xfrm>
                    <a:prstGeom prst="rect">
                      <a:avLst/>
                    </a:prstGeom>
                    <a:noFill/>
                    <a:ln>
                      <a:noFill/>
                    </a:ln>
                  </pic:spPr>
                </pic:pic>
              </a:graphicData>
            </a:graphic>
          </wp:inline>
        </w:drawing>
      </w:r>
    </w:p>
    <w:p w:rsidR="004115B7" w:rsidP="004115B7" w:rsidRDefault="004115B7" w14:paraId="301B7A48" w14:textId="76B178F4">
      <w:pPr>
        <w:pStyle w:val="FigureTableTitles"/>
        <w:rPr>
          <w:lang w:val="en-CA"/>
        </w:rPr>
      </w:pPr>
      <w:r>
        <w:rPr>
          <w:lang w:val="en-CA"/>
        </w:rPr>
        <w:t>Table C-4 (Cont’d)</w:t>
      </w:r>
    </w:p>
    <w:p w:rsidR="004115B7" w:rsidP="002D6613" w:rsidRDefault="00C80247" w14:paraId="4F1B5481" w14:textId="516D8DFB">
      <w:pPr>
        <w:pStyle w:val="BodyText125"/>
        <w:jc w:val="center"/>
        <w:rPr>
          <w:lang w:val="en-CA"/>
        </w:rPr>
      </w:pPr>
      <w:r w:rsidRPr="00C80247">
        <w:rPr>
          <w:noProof/>
        </w:rPr>
        <w:drawing>
          <wp:inline distT="0" distB="0" distL="0" distR="0" wp14:anchorId="43D6B8C4" wp14:editId="7F3D7660">
            <wp:extent cx="10972800" cy="4627245"/>
            <wp:effectExtent l="0" t="0" r="0" b="1905"/>
            <wp:docPr id="1019726412" name="Picture 8" descr="Parks and Recreation Services Capital Costs (Updated for Proposed Bill 60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26412" name="Picture 8" descr="Parks and Recreation Services Capital Costs (Updated for Proposed Bill 60 Chang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972800" cy="4627245"/>
                    </a:xfrm>
                    <a:prstGeom prst="rect">
                      <a:avLst/>
                    </a:prstGeom>
                    <a:noFill/>
                    <a:ln>
                      <a:noFill/>
                    </a:ln>
                  </pic:spPr>
                </pic:pic>
              </a:graphicData>
            </a:graphic>
          </wp:inline>
        </w:drawing>
      </w:r>
    </w:p>
    <w:p w:rsidR="002D6613" w:rsidP="002D6613" w:rsidRDefault="002D6613" w14:paraId="7D1774C2" w14:textId="3DC373D1">
      <w:pPr>
        <w:pStyle w:val="FigureTableTitles"/>
        <w:rPr>
          <w:lang w:val="en-CA"/>
        </w:rPr>
      </w:pPr>
      <w:r>
        <w:rPr>
          <w:lang w:val="en-CA"/>
        </w:rPr>
        <w:t>Table C-5</w:t>
      </w:r>
    </w:p>
    <w:p w:rsidR="002D6613" w:rsidP="002D6613" w:rsidRDefault="002D6613" w14:paraId="6DAA7302" w14:textId="7B1E2664">
      <w:pPr>
        <w:pStyle w:val="FigureTableTitles"/>
        <w:rPr>
          <w:lang w:val="en-CA"/>
        </w:rPr>
      </w:pPr>
      <w:r>
        <w:rPr>
          <w:lang w:val="en-CA"/>
        </w:rPr>
        <w:t>City of Cambridge</w:t>
      </w:r>
    </w:p>
    <w:p w:rsidR="002D6613" w:rsidP="002D6613" w:rsidRDefault="002D6613" w14:paraId="624DF680" w14:textId="4D437945">
      <w:pPr>
        <w:pStyle w:val="FigureTableTitles"/>
        <w:rPr>
          <w:lang w:val="en-CA"/>
        </w:rPr>
      </w:pPr>
      <w:r>
        <w:rPr>
          <w:lang w:val="en-CA"/>
        </w:rPr>
        <w:t>Parks and Recreation Land Capital Costs</w:t>
      </w:r>
      <w:r w:rsidR="00F44AB2">
        <w:rPr>
          <w:lang w:val="en-CA"/>
        </w:rPr>
        <w:t xml:space="preserve"> – Class of Service</w:t>
      </w:r>
      <w:r>
        <w:rPr>
          <w:lang w:val="en-CA"/>
        </w:rPr>
        <w:t xml:space="preserve"> (Updated for Proposed Bill 60 Changes)</w:t>
      </w:r>
    </w:p>
    <w:p w:rsidR="002D6613" w:rsidP="00A118B9" w:rsidRDefault="000D6C17" w14:paraId="32A717AA" w14:textId="4CB5DEFD">
      <w:pPr>
        <w:pStyle w:val="BodyText125"/>
        <w:rPr>
          <w:lang w:val="en-CA"/>
        </w:rPr>
      </w:pPr>
      <w:r w:rsidRPr="000D6C17">
        <w:rPr>
          <w:noProof/>
        </w:rPr>
        <w:drawing>
          <wp:inline distT="0" distB="0" distL="0" distR="0" wp14:anchorId="2BC6092A" wp14:editId="4F2EF99E">
            <wp:extent cx="10972800" cy="2134235"/>
            <wp:effectExtent l="0" t="0" r="0" b="0"/>
            <wp:docPr id="91038328" name="Picture 19" descr="Parks and Recreation Land Capital Costs – Class of Service (Updated for Proposed Bill 60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328" name="Picture 19" descr="Parks and Recreation Land Capital Costs – Class of Service (Updated for Proposed Bill 60 Chang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972800" cy="2134235"/>
                    </a:xfrm>
                    <a:prstGeom prst="rect">
                      <a:avLst/>
                    </a:prstGeom>
                    <a:noFill/>
                    <a:ln>
                      <a:noFill/>
                    </a:ln>
                  </pic:spPr>
                </pic:pic>
              </a:graphicData>
            </a:graphic>
          </wp:inline>
        </w:drawing>
      </w:r>
    </w:p>
    <w:p w:rsidR="00D97DB4" w:rsidP="00A118B9" w:rsidRDefault="00D97DB4" w14:paraId="21E18BDE" w14:textId="72A35C69">
      <w:pPr>
        <w:pStyle w:val="FigureTableTitles"/>
        <w:rPr>
          <w:lang w:val="en-CA" w:eastAsia="ja-JP"/>
        </w:rPr>
        <w:sectPr w:rsidR="00D97DB4" w:rsidSect="00A118B9">
          <w:footnotePr>
            <w:numRestart w:val="eachPage"/>
          </w:footnotePr>
          <w:pgSz w:w="20160" w:h="12240" w:orient="landscape" w:code="5"/>
          <w:pgMar w:top="1440" w:right="1440" w:bottom="1440" w:left="1440" w:header="432" w:footer="619" w:gutter="0"/>
          <w:cols w:space="708"/>
          <w:titlePg/>
          <w:docGrid w:linePitch="360"/>
        </w:sectPr>
      </w:pPr>
    </w:p>
    <w:p w:rsidR="00F425E4" w:rsidP="00F425E4" w:rsidRDefault="00F425E4" w14:paraId="45191856" w14:textId="14A504B9">
      <w:pPr>
        <w:pStyle w:val="Heading3"/>
        <w:numPr>
          <w:ilvl w:val="0"/>
          <w:numId w:val="0"/>
        </w:numPr>
        <w:ind w:left="850" w:hanging="850"/>
        <w:rPr>
          <w:lang w:val="en-CA"/>
        </w:rPr>
      </w:pPr>
      <w:bookmarkStart w:name="_Toc213259769" w:id="48"/>
      <w:bookmarkStart w:name="_Toc213674189" w:id="49"/>
      <w:r>
        <w:rPr>
          <w:lang w:val="en-CA"/>
        </w:rPr>
        <w:t>C.1.2</w:t>
      </w:r>
      <w:r>
        <w:rPr>
          <w:lang w:val="en-CA"/>
        </w:rPr>
        <w:tab/>
      </w:r>
      <w:r>
        <w:rPr>
          <w:lang w:val="en-CA"/>
        </w:rPr>
        <w:t>Required Timelines for the Annual Treasurer’s Statement</w:t>
      </w:r>
      <w:bookmarkEnd w:id="48"/>
      <w:bookmarkEnd w:id="49"/>
    </w:p>
    <w:p w:rsidRPr="00C87A43" w:rsidR="00C87A43" w:rsidP="00C87A43" w:rsidRDefault="00C87A43" w14:paraId="7C611E03" w14:textId="77777777">
      <w:pPr>
        <w:pStyle w:val="BodyText125"/>
        <w:rPr>
          <w:b/>
          <w:bCs/>
          <w:lang w:val="en-CA" w:eastAsia="ja-JP"/>
        </w:rPr>
      </w:pPr>
      <w:r w:rsidRPr="00C87A43">
        <w:rPr>
          <w:b/>
          <w:bCs/>
          <w:lang w:val="en-CA" w:eastAsia="ja-JP"/>
        </w:rPr>
        <w:t>Proposed Changes</w:t>
      </w:r>
    </w:p>
    <w:p w:rsidRPr="00C87A43" w:rsidR="00C87A43" w:rsidP="00C87A43" w:rsidRDefault="00C87A43" w14:paraId="34C9412B" w14:textId="7241223D">
      <w:pPr>
        <w:pStyle w:val="BodyText125"/>
        <w:rPr>
          <w:lang w:val="en-CA" w:eastAsia="ja-JP"/>
        </w:rPr>
      </w:pPr>
      <w:r w:rsidRPr="00C87A43">
        <w:rPr>
          <w:lang w:val="en-CA" w:eastAsia="ja-JP"/>
        </w:rPr>
        <w:t>Currently</w:t>
      </w:r>
      <w:r>
        <w:rPr>
          <w:lang w:val="en-CA" w:eastAsia="ja-JP"/>
        </w:rPr>
        <w:t>,</w:t>
      </w:r>
      <w:r w:rsidRPr="00C87A43">
        <w:rPr>
          <w:lang w:val="en-CA" w:eastAsia="ja-JP"/>
        </w:rPr>
        <w:t xml:space="preserve"> the Treasurer’s statement must be prepared each year by a date determined by Council.  Section 43(1) of the Act is amended to require the statements be completed by June 30 of each year.</w:t>
      </w:r>
    </w:p>
    <w:p w:rsidRPr="00C87A43" w:rsidR="00C87A43" w:rsidP="00C87A43" w:rsidRDefault="00C87A43" w14:paraId="27D5CDA3" w14:textId="5FCB895C">
      <w:pPr>
        <w:pStyle w:val="BodyText125"/>
        <w:rPr>
          <w:lang w:val="en-CA" w:eastAsia="ja-JP"/>
        </w:rPr>
      </w:pPr>
      <w:r w:rsidRPr="00C87A43">
        <w:rPr>
          <w:lang w:val="en-CA" w:eastAsia="ja-JP"/>
        </w:rPr>
        <w:t>Currently</w:t>
      </w:r>
      <w:r>
        <w:rPr>
          <w:lang w:val="en-CA" w:eastAsia="ja-JP"/>
        </w:rPr>
        <w:t>,</w:t>
      </w:r>
      <w:r w:rsidRPr="00C87A43">
        <w:rPr>
          <w:lang w:val="en-CA" w:eastAsia="ja-JP"/>
        </w:rPr>
        <w:t xml:space="preserve"> the Annual Treasurer’s statement is required to be provided to the Minister of Municipal Affairs and Housing upon request.  Section 43(3) of the Act is amended to require a copy of the Treasurer’s statement be submitted to the Minister by July 15 of each year.</w:t>
      </w:r>
    </w:p>
    <w:p w:rsidRPr="00A118B9" w:rsidR="00965F91" w:rsidP="00965F91" w:rsidRDefault="00965F91" w14:paraId="61C396FF" w14:textId="77777777">
      <w:pPr>
        <w:pStyle w:val="BoldHeading"/>
        <w:rPr>
          <w:lang w:val="en-CA" w:eastAsia="ja-JP"/>
        </w:rPr>
      </w:pPr>
      <w:r w:rsidRPr="00A118B9">
        <w:rPr>
          <w:lang w:val="en-CA" w:eastAsia="ja-JP"/>
        </w:rPr>
        <w:t xml:space="preserve">Potential Impact on D.C. Background Study Update </w:t>
      </w:r>
    </w:p>
    <w:p w:rsidRPr="00C87A43" w:rsidR="00C87A43" w:rsidP="00C87A43" w:rsidRDefault="008F3B8F" w14:paraId="10F91AAB" w14:textId="79EAC128">
      <w:pPr>
        <w:pStyle w:val="BodyText125"/>
        <w:rPr>
          <w:lang w:val="en-CA" w:eastAsia="ja-JP"/>
        </w:rPr>
      </w:pPr>
      <w:r>
        <w:rPr>
          <w:lang w:val="en-CA" w:eastAsia="ja-JP"/>
        </w:rPr>
        <w:t>Based on this change, t</w:t>
      </w:r>
      <w:r w:rsidR="00F75AE1">
        <w:rPr>
          <w:lang w:val="en-CA" w:eastAsia="ja-JP"/>
        </w:rPr>
        <w:t xml:space="preserve">here are no impacts to the calculations and </w:t>
      </w:r>
      <w:r>
        <w:rPr>
          <w:lang w:val="en-CA" w:eastAsia="ja-JP"/>
        </w:rPr>
        <w:t xml:space="preserve">proposed by-law amendments.  The </w:t>
      </w:r>
      <w:proofErr w:type="gramStart"/>
      <w:r>
        <w:rPr>
          <w:lang w:val="en-CA" w:eastAsia="ja-JP"/>
        </w:rPr>
        <w:t>City</w:t>
      </w:r>
      <w:proofErr w:type="gramEnd"/>
      <w:r>
        <w:rPr>
          <w:lang w:val="en-CA" w:eastAsia="ja-JP"/>
        </w:rPr>
        <w:t xml:space="preserve"> </w:t>
      </w:r>
      <w:r w:rsidRPr="00C87A43" w:rsidR="00C87A43">
        <w:rPr>
          <w:lang w:val="en-CA" w:eastAsia="ja-JP"/>
        </w:rPr>
        <w:t>will need to ensure the Annual Treasurer’s Statements are completed by June 30 and submitted to the Minister by July 15.</w:t>
      </w:r>
    </w:p>
    <w:p w:rsidR="00F425E4" w:rsidP="008F3B8F" w:rsidRDefault="008F3B8F" w14:paraId="014809E2" w14:textId="5F76FDEE">
      <w:pPr>
        <w:pStyle w:val="Heading3"/>
        <w:numPr>
          <w:ilvl w:val="0"/>
          <w:numId w:val="0"/>
        </w:numPr>
        <w:ind w:left="850" w:hanging="850"/>
        <w:rPr>
          <w:lang w:val="en-CA"/>
        </w:rPr>
      </w:pPr>
      <w:bookmarkStart w:name="_Toc213259770" w:id="50"/>
      <w:bookmarkStart w:name="_Toc213674190" w:id="51"/>
      <w:r>
        <w:rPr>
          <w:lang w:val="en-CA"/>
        </w:rPr>
        <w:t>C.1.3</w:t>
      </w:r>
      <w:r>
        <w:rPr>
          <w:lang w:val="en-CA"/>
        </w:rPr>
        <w:tab/>
      </w:r>
      <w:r>
        <w:rPr>
          <w:lang w:val="en-CA"/>
        </w:rPr>
        <w:t>Addition of Requirements for Local Service Policies</w:t>
      </w:r>
      <w:bookmarkEnd w:id="50"/>
      <w:bookmarkEnd w:id="51"/>
    </w:p>
    <w:p w:rsidRPr="006F6C1E" w:rsidR="006F6C1E" w:rsidP="006F6C1E" w:rsidRDefault="006F6C1E" w14:paraId="258F8243" w14:textId="77777777">
      <w:pPr>
        <w:pStyle w:val="BodyText125"/>
        <w:rPr>
          <w:b/>
          <w:bCs/>
          <w:lang w:val="en-CA" w:eastAsia="ja-JP"/>
        </w:rPr>
      </w:pPr>
      <w:r w:rsidRPr="006F6C1E">
        <w:rPr>
          <w:b/>
          <w:bCs/>
          <w:lang w:val="en-CA" w:eastAsia="ja-JP"/>
        </w:rPr>
        <w:t>Proposed Changes</w:t>
      </w:r>
    </w:p>
    <w:p w:rsidRPr="006F6C1E" w:rsidR="006F6C1E" w:rsidP="006F6C1E" w:rsidRDefault="006F6C1E" w14:paraId="0D851D48" w14:textId="25F1F3EC">
      <w:pPr>
        <w:pStyle w:val="BodyText125"/>
        <w:rPr>
          <w:lang w:val="en-CA" w:eastAsia="ja-JP"/>
        </w:rPr>
      </w:pPr>
      <w:r w:rsidRPr="006F6C1E">
        <w:rPr>
          <w:lang w:val="en-CA" w:eastAsia="ja-JP"/>
        </w:rPr>
        <w:t xml:space="preserve">Currently subsection 2(5) of the D.C.A. precludes a D.C. by-law from imposing charges with respect to local services described in Section 59 of the D.C.A.  Section 59 of the D.C.A. provides a link to the </w:t>
      </w:r>
      <w:r w:rsidRPr="006F6C1E">
        <w:rPr>
          <w:i/>
          <w:iCs/>
          <w:lang w:val="en-CA" w:eastAsia="ja-JP"/>
        </w:rPr>
        <w:t>Planning Act</w:t>
      </w:r>
      <w:r w:rsidRPr="006F6C1E">
        <w:rPr>
          <w:lang w:val="en-CA" w:eastAsia="ja-JP"/>
        </w:rPr>
        <w:t>, such that</w:t>
      </w:r>
      <w:r w:rsidR="008F10F4">
        <w:rPr>
          <w:lang w:val="en-CA" w:eastAsia="ja-JP"/>
        </w:rPr>
        <w:t>,</w:t>
      </w:r>
      <w:r w:rsidRPr="006F6C1E">
        <w:rPr>
          <w:lang w:val="en-CA" w:eastAsia="ja-JP"/>
        </w:rPr>
        <w:t xml:space="preserve"> as a condition of subdivision or consent agreement, a municipality may require local services to be installed or paid for by the owner.  Local services are considered when preparing a D.C. background study to ensure compliance with the legislative requirements.  As such, a Local Service Policy is generally included in our D.C. background studies for transparency to stakeholders and for municipal staff administration.</w:t>
      </w:r>
    </w:p>
    <w:p w:rsidRPr="006F6C1E" w:rsidR="006F6C1E" w:rsidP="006F6C1E" w:rsidRDefault="006F6C1E" w14:paraId="46C11DEF" w14:textId="77777777">
      <w:pPr>
        <w:pStyle w:val="BodyText125"/>
        <w:rPr>
          <w:lang w:val="en-CA" w:eastAsia="ja-JP"/>
        </w:rPr>
      </w:pPr>
      <w:r w:rsidRPr="006F6C1E">
        <w:rPr>
          <w:lang w:val="en-CA" w:eastAsia="ja-JP"/>
        </w:rPr>
        <w:t>New subsections 59(2.2) through 59(2.11) are proposed which generally set out the following:</w:t>
      </w:r>
    </w:p>
    <w:p w:rsidRPr="006F6C1E" w:rsidR="006F6C1E" w:rsidP="003E0ED8" w:rsidRDefault="006F6C1E" w14:paraId="79A63E4D" w14:textId="77777777">
      <w:pPr>
        <w:pStyle w:val="BodyTextbullets125"/>
        <w:rPr>
          <w:lang w:val="en-CA" w:eastAsia="ja-JP"/>
        </w:rPr>
      </w:pPr>
      <w:r w:rsidRPr="006F6C1E">
        <w:rPr>
          <w:lang w:val="en-CA" w:eastAsia="ja-JP"/>
        </w:rPr>
        <w:t xml:space="preserve">A Local Service Policy is required for all D.C. eligible services to which a D.C. by-law imposes a charge and where some part of the service will be provided as a local </w:t>
      </w:r>
      <w:proofErr w:type="gramStart"/>
      <w:r w:rsidRPr="006F6C1E">
        <w:rPr>
          <w:lang w:val="en-CA" w:eastAsia="ja-JP"/>
        </w:rPr>
        <w:t>service;</w:t>
      </w:r>
      <w:proofErr w:type="gramEnd"/>
    </w:p>
    <w:p w:rsidRPr="006F6C1E" w:rsidR="006F6C1E" w:rsidP="003E0ED8" w:rsidRDefault="006F6C1E" w14:paraId="79B10010" w14:textId="77777777">
      <w:pPr>
        <w:pStyle w:val="BodyTextbullets125"/>
        <w:rPr>
          <w:lang w:val="en-CA" w:eastAsia="ja-JP"/>
        </w:rPr>
      </w:pPr>
      <w:r w:rsidRPr="006F6C1E">
        <w:rPr>
          <w:lang w:val="en-CA" w:eastAsia="ja-JP"/>
        </w:rPr>
        <w:t xml:space="preserve">A Local Service Policy is required to impose a condition of local services on development and only to the extent it has been identified in the Local Service Policy.  That is, a municipality could not require a work or classes of work to be provided as a local service if it is not identified as such in the Local Service </w:t>
      </w:r>
      <w:proofErr w:type="gramStart"/>
      <w:r w:rsidRPr="006F6C1E">
        <w:rPr>
          <w:lang w:val="en-CA" w:eastAsia="ja-JP"/>
        </w:rPr>
        <w:t>Policy;</w:t>
      </w:r>
      <w:proofErr w:type="gramEnd"/>
    </w:p>
    <w:p w:rsidRPr="006F6C1E" w:rsidR="006F6C1E" w:rsidP="003E0ED8" w:rsidRDefault="006F6C1E" w14:paraId="165C5BD4" w14:textId="77777777">
      <w:pPr>
        <w:pStyle w:val="BodyTextbullets125"/>
        <w:numPr>
          <w:ilvl w:val="1"/>
          <w:numId w:val="1"/>
        </w:numPr>
        <w:rPr>
          <w:lang w:val="en-CA" w:eastAsia="ja-JP"/>
        </w:rPr>
      </w:pPr>
      <w:r w:rsidRPr="006F6C1E">
        <w:rPr>
          <w:lang w:val="en-CA" w:eastAsia="ja-JP"/>
        </w:rPr>
        <w:t xml:space="preserve">This does not apply where a municipality does not impose a D.C. for that </w:t>
      </w:r>
      <w:proofErr w:type="gramStart"/>
      <w:r w:rsidRPr="006F6C1E">
        <w:rPr>
          <w:lang w:val="en-CA" w:eastAsia="ja-JP"/>
        </w:rPr>
        <w:t>service;</w:t>
      </w:r>
      <w:proofErr w:type="gramEnd"/>
    </w:p>
    <w:p w:rsidRPr="006F6C1E" w:rsidR="006F6C1E" w:rsidP="003E0ED8" w:rsidRDefault="006F6C1E" w14:paraId="703B8AC9" w14:textId="77777777">
      <w:pPr>
        <w:pStyle w:val="BodyTextbullets125"/>
        <w:numPr>
          <w:ilvl w:val="1"/>
          <w:numId w:val="1"/>
        </w:numPr>
        <w:rPr>
          <w:lang w:val="en-CA" w:eastAsia="ja-JP"/>
        </w:rPr>
      </w:pPr>
      <w:r w:rsidRPr="006F6C1E">
        <w:rPr>
          <w:lang w:val="en-CA" w:eastAsia="ja-JP"/>
        </w:rPr>
        <w:t xml:space="preserve">This applies the day a municipality establishes the Local Services Policy or 18 months after Bill 60 receives Royal </w:t>
      </w:r>
      <w:proofErr w:type="gramStart"/>
      <w:r w:rsidRPr="006F6C1E">
        <w:rPr>
          <w:lang w:val="en-CA" w:eastAsia="ja-JP"/>
        </w:rPr>
        <w:t>Assent;</w:t>
      </w:r>
      <w:proofErr w:type="gramEnd"/>
    </w:p>
    <w:p w:rsidRPr="006F6C1E" w:rsidR="006F6C1E" w:rsidP="003E0ED8" w:rsidRDefault="006F6C1E" w14:paraId="374838C1" w14:textId="77777777">
      <w:pPr>
        <w:pStyle w:val="BodyTextbullets125"/>
        <w:rPr>
          <w:lang w:val="en-CA" w:eastAsia="ja-JP"/>
        </w:rPr>
      </w:pPr>
      <w:r w:rsidRPr="006F6C1E">
        <w:rPr>
          <w:lang w:val="en-CA" w:eastAsia="ja-JP"/>
        </w:rPr>
        <w:t>Required content for a Local Service Policy:</w:t>
      </w:r>
    </w:p>
    <w:p w:rsidRPr="006F6C1E" w:rsidR="006F6C1E" w:rsidP="003E0ED8" w:rsidRDefault="006F6C1E" w14:paraId="68B62824" w14:textId="77777777">
      <w:pPr>
        <w:pStyle w:val="BodyTextbullets125"/>
        <w:numPr>
          <w:ilvl w:val="1"/>
          <w:numId w:val="1"/>
        </w:numPr>
        <w:rPr>
          <w:lang w:val="en-CA" w:eastAsia="ja-JP"/>
        </w:rPr>
      </w:pPr>
      <w:r w:rsidRPr="006F6C1E">
        <w:rPr>
          <w:lang w:val="en-CA" w:eastAsia="ja-JP"/>
        </w:rPr>
        <w:t>Works or classes of works related to development that are intended to be required as a Local Service</w:t>
      </w:r>
    </w:p>
    <w:p w:rsidRPr="006F6C1E" w:rsidR="006F6C1E" w:rsidP="003E0ED8" w:rsidRDefault="006F6C1E" w14:paraId="2F2ED9BA" w14:textId="77777777">
      <w:pPr>
        <w:pStyle w:val="BodyTextbullets125"/>
        <w:rPr>
          <w:lang w:val="en-CA" w:eastAsia="ja-JP"/>
        </w:rPr>
      </w:pPr>
      <w:r w:rsidRPr="006F6C1E">
        <w:rPr>
          <w:lang w:val="en-CA" w:eastAsia="ja-JP"/>
        </w:rPr>
        <w:t>Optional content for a Local Service Policy:</w:t>
      </w:r>
    </w:p>
    <w:p w:rsidRPr="006F6C1E" w:rsidR="006F6C1E" w:rsidP="003E0ED8" w:rsidRDefault="006F6C1E" w14:paraId="33637695" w14:textId="77777777">
      <w:pPr>
        <w:pStyle w:val="BodyTextbullets125"/>
        <w:numPr>
          <w:ilvl w:val="1"/>
          <w:numId w:val="1"/>
        </w:numPr>
        <w:rPr>
          <w:lang w:val="en-CA" w:eastAsia="ja-JP"/>
        </w:rPr>
      </w:pPr>
      <w:r w:rsidRPr="006F6C1E">
        <w:rPr>
          <w:lang w:val="en-CA" w:eastAsia="ja-JP"/>
        </w:rPr>
        <w:t xml:space="preserve">Works or classes of works that are not intended to be required as a Local </w:t>
      </w:r>
      <w:proofErr w:type="gramStart"/>
      <w:r w:rsidRPr="006F6C1E">
        <w:rPr>
          <w:lang w:val="en-CA" w:eastAsia="ja-JP"/>
        </w:rPr>
        <w:t>Service;</w:t>
      </w:r>
      <w:proofErr w:type="gramEnd"/>
    </w:p>
    <w:p w:rsidRPr="006F6C1E" w:rsidR="006F6C1E" w:rsidP="003E0ED8" w:rsidRDefault="006F6C1E" w14:paraId="09C90CF2" w14:textId="77777777">
      <w:pPr>
        <w:pStyle w:val="BodyTextbullets125"/>
        <w:numPr>
          <w:ilvl w:val="1"/>
          <w:numId w:val="1"/>
        </w:numPr>
        <w:rPr>
          <w:lang w:val="en-CA" w:eastAsia="ja-JP"/>
        </w:rPr>
      </w:pPr>
      <w:r w:rsidRPr="006F6C1E">
        <w:rPr>
          <w:lang w:val="en-CA" w:eastAsia="ja-JP"/>
        </w:rPr>
        <w:t xml:space="preserve">Works or classes of works that are partially required as a Local </w:t>
      </w:r>
      <w:proofErr w:type="gramStart"/>
      <w:r w:rsidRPr="006F6C1E">
        <w:rPr>
          <w:lang w:val="en-CA" w:eastAsia="ja-JP"/>
        </w:rPr>
        <w:t>Service;</w:t>
      </w:r>
      <w:proofErr w:type="gramEnd"/>
    </w:p>
    <w:p w:rsidRPr="006F6C1E" w:rsidR="006F6C1E" w:rsidP="003E0ED8" w:rsidRDefault="006F6C1E" w14:paraId="01025917" w14:textId="77777777">
      <w:pPr>
        <w:pStyle w:val="BodyTextbullets125"/>
        <w:rPr>
          <w:lang w:val="en-CA" w:eastAsia="ja-JP"/>
        </w:rPr>
      </w:pPr>
      <w:r w:rsidRPr="006F6C1E">
        <w:rPr>
          <w:lang w:val="en-CA" w:eastAsia="ja-JP"/>
        </w:rPr>
        <w:t>The municipality shall give a copy of the Local Service Policy to the Minister of Municipal Affairs and Housing upon request, by the date requested; and</w:t>
      </w:r>
    </w:p>
    <w:p w:rsidRPr="006F6C1E" w:rsidR="006F6C1E" w:rsidP="003E0ED8" w:rsidRDefault="006F6C1E" w14:paraId="52206B2C" w14:textId="77777777">
      <w:pPr>
        <w:pStyle w:val="BodyTextbullets125"/>
        <w:rPr>
          <w:lang w:val="en-CA" w:eastAsia="ja-JP"/>
        </w:rPr>
      </w:pPr>
      <w:r w:rsidRPr="006F6C1E">
        <w:rPr>
          <w:lang w:val="en-CA" w:eastAsia="ja-JP"/>
        </w:rPr>
        <w:t>The Local Service Policy must be reviewed, requiring a resolution of Council declaring if a revision is needed.  The Resolution shall be passed at the time of passing any D.C. by-law or when a revision to the policy is required.</w:t>
      </w:r>
    </w:p>
    <w:p w:rsidRPr="0039776D" w:rsidR="003178A2" w:rsidP="003178A2" w:rsidRDefault="003178A2" w14:paraId="0D898476" w14:textId="6BE02410">
      <w:pPr>
        <w:pStyle w:val="BoldHeading"/>
        <w:rPr>
          <w:lang w:val="en-CA" w:eastAsia="ja-JP"/>
        </w:rPr>
      </w:pPr>
      <w:r w:rsidRPr="0039776D">
        <w:rPr>
          <w:lang w:val="en-CA" w:eastAsia="ja-JP"/>
        </w:rPr>
        <w:t xml:space="preserve">Potential Impact on D.C. Background Study Update </w:t>
      </w:r>
    </w:p>
    <w:p w:rsidRPr="006F6C1E" w:rsidR="006F6C1E" w:rsidP="4FA7D9DC" w:rsidRDefault="00782FD4" w14:paraId="5ABF5B98" w14:textId="7D779153">
      <w:pPr>
        <w:pStyle w:val="BodyText125"/>
        <w:rPr>
          <w:lang w:eastAsia="ja-JP"/>
        </w:rPr>
      </w:pPr>
      <w:r w:rsidRPr="4FA7D9DC">
        <w:rPr>
          <w:lang w:eastAsia="ja-JP"/>
        </w:rPr>
        <w:t xml:space="preserve">The City’s current D.C. Background Study includes a local service policy.  This </w:t>
      </w:r>
      <w:r w:rsidRPr="4FA7D9DC" w:rsidR="001D4E3B">
        <w:rPr>
          <w:lang w:eastAsia="ja-JP"/>
        </w:rPr>
        <w:t xml:space="preserve">policy </w:t>
      </w:r>
      <w:r w:rsidRPr="4FA7D9DC">
        <w:rPr>
          <w:lang w:eastAsia="ja-JP"/>
        </w:rPr>
        <w:t xml:space="preserve">delineates </w:t>
      </w:r>
      <w:r w:rsidRPr="4FA7D9DC" w:rsidR="006F6C1E">
        <w:rPr>
          <w:lang w:eastAsia="ja-JP"/>
        </w:rPr>
        <w:t>between local service capital costs and D.C. eligible capital costs</w:t>
      </w:r>
      <w:r w:rsidRPr="4FA7D9DC" w:rsidR="006E066A">
        <w:rPr>
          <w:lang w:eastAsia="ja-JP"/>
        </w:rPr>
        <w:t>, including costs related to parkland development</w:t>
      </w:r>
      <w:r w:rsidRPr="4FA7D9DC" w:rsidR="006F6C1E">
        <w:rPr>
          <w:lang w:eastAsia="ja-JP"/>
        </w:rPr>
        <w:t xml:space="preserve">.  </w:t>
      </w:r>
    </w:p>
    <w:p w:rsidR="001E6D20" w:rsidP="006F0974" w:rsidRDefault="00D27985" w14:paraId="7049D07A" w14:textId="60595ACA">
      <w:pPr>
        <w:pStyle w:val="BodyText125"/>
        <w:rPr>
          <w:lang w:val="en-CA"/>
        </w:rPr>
      </w:pPr>
      <w:r>
        <w:rPr>
          <w:lang w:val="en-CA" w:eastAsia="ja-JP"/>
        </w:rPr>
        <w:t xml:space="preserve">Based on the proposed changes, a resolution of Council may be required when the D.C. by-law amendment is </w:t>
      </w:r>
      <w:r w:rsidR="00F552C2">
        <w:rPr>
          <w:lang w:val="en-CA" w:eastAsia="ja-JP"/>
        </w:rPr>
        <w:t xml:space="preserve">adopted, if Bill 60 is enacted before the D.C. by-law amendment is passed.  </w:t>
      </w:r>
    </w:p>
    <w:p w:rsidR="001E6D20" w:rsidP="001E6D20" w:rsidRDefault="001E6D20" w14:paraId="02C9839F" w14:textId="5305C62E">
      <w:pPr>
        <w:pStyle w:val="Heading3"/>
        <w:numPr>
          <w:ilvl w:val="0"/>
          <w:numId w:val="0"/>
        </w:numPr>
        <w:ind w:left="850" w:hanging="850"/>
        <w:rPr>
          <w:lang w:val="en-CA"/>
        </w:rPr>
      </w:pPr>
      <w:bookmarkStart w:name="_Toc213259771" w:id="52"/>
      <w:bookmarkStart w:name="_Toc213674191" w:id="53"/>
      <w:r>
        <w:rPr>
          <w:lang w:val="en-CA"/>
        </w:rPr>
        <w:t>C.1.4</w:t>
      </w:r>
      <w:r>
        <w:rPr>
          <w:lang w:val="en-CA"/>
        </w:rPr>
        <w:tab/>
      </w:r>
      <w:r>
        <w:rPr>
          <w:lang w:val="en-CA"/>
        </w:rPr>
        <w:t>Requirement to Provide Documents to the Minister</w:t>
      </w:r>
      <w:bookmarkEnd w:id="52"/>
      <w:bookmarkEnd w:id="53"/>
    </w:p>
    <w:p w:rsidRPr="006C3A2A" w:rsidR="006C3A2A" w:rsidP="006C3A2A" w:rsidRDefault="006C3A2A" w14:paraId="1AE6C7D4" w14:textId="77777777">
      <w:pPr>
        <w:pStyle w:val="BodyText125"/>
        <w:rPr>
          <w:b/>
          <w:bCs/>
          <w:lang w:val="en-CA" w:eastAsia="ja-JP"/>
        </w:rPr>
      </w:pPr>
      <w:r w:rsidRPr="006C3A2A">
        <w:rPr>
          <w:b/>
          <w:bCs/>
          <w:lang w:val="en-CA" w:eastAsia="ja-JP"/>
        </w:rPr>
        <w:t>Proposed Changes</w:t>
      </w:r>
    </w:p>
    <w:p w:rsidRPr="006C3A2A" w:rsidR="006C3A2A" w:rsidP="006C3A2A" w:rsidRDefault="006C3A2A" w14:paraId="228CCC69" w14:textId="77777777">
      <w:pPr>
        <w:pStyle w:val="BodyText125"/>
        <w:rPr>
          <w:lang w:val="en-CA" w:eastAsia="ja-JP"/>
        </w:rPr>
      </w:pPr>
      <w:r w:rsidRPr="006C3A2A">
        <w:rPr>
          <w:lang w:val="en-CA" w:eastAsia="ja-JP"/>
        </w:rPr>
        <w:t>Currently there is no requirement to provide the D.C. background study or by-law to the Minister of Municipal Affairs and Housing.  The proposed changes to Section 10 and Section 13 of the D.C.A. would require municipalities to provide copies of the documents to the Minister upon request, by the date requested.</w:t>
      </w:r>
    </w:p>
    <w:p w:rsidRPr="006C3A2A" w:rsidR="006C3A2A" w:rsidP="006C3A2A" w:rsidRDefault="006C3A2A" w14:paraId="0E8A9B0F" w14:textId="77777777">
      <w:pPr>
        <w:pStyle w:val="BodyText125"/>
        <w:rPr>
          <w:lang w:val="en-CA" w:eastAsia="ja-JP"/>
        </w:rPr>
      </w:pPr>
      <w:r w:rsidRPr="006C3A2A">
        <w:rPr>
          <w:lang w:val="en-CA" w:eastAsia="ja-JP"/>
        </w:rPr>
        <w:t>In addition, there is currently no requirement to provide the Local Service Policy to the Minister of Municipal Affairs and Housing.  A proposed new section 59(2.8) will require a copy of the Local Service Policy to be provided to the Minister upon request, by the date requested.</w:t>
      </w:r>
    </w:p>
    <w:p w:rsidRPr="0039776D" w:rsidR="003178A2" w:rsidP="003178A2" w:rsidRDefault="003178A2" w14:paraId="18A04806" w14:textId="77777777">
      <w:pPr>
        <w:pStyle w:val="BoldHeading"/>
        <w:rPr>
          <w:lang w:val="en-CA" w:eastAsia="ja-JP"/>
        </w:rPr>
      </w:pPr>
      <w:r w:rsidRPr="0039776D">
        <w:rPr>
          <w:lang w:val="en-CA" w:eastAsia="ja-JP"/>
        </w:rPr>
        <w:t xml:space="preserve">Potential Impact on D.C. Background Study Update </w:t>
      </w:r>
    </w:p>
    <w:p w:rsidRPr="006C3A2A" w:rsidR="006C3A2A" w:rsidP="006C3A2A" w:rsidRDefault="006C3A2A" w14:paraId="0CFAC532" w14:textId="1321BCB8">
      <w:pPr>
        <w:pStyle w:val="BodyText125"/>
        <w:rPr>
          <w:lang w:val="en-CA" w:eastAsia="ja-JP"/>
        </w:rPr>
      </w:pPr>
      <w:r w:rsidRPr="006C3A2A">
        <w:rPr>
          <w:lang w:val="en-CA" w:eastAsia="ja-JP"/>
        </w:rPr>
        <w:t xml:space="preserve">There does not appear to be any impact to </w:t>
      </w:r>
      <w:r w:rsidR="00965F91">
        <w:rPr>
          <w:lang w:val="en-CA" w:eastAsia="ja-JP"/>
        </w:rPr>
        <w:t xml:space="preserve">this D.C. Background Study update. </w:t>
      </w:r>
    </w:p>
    <w:p w:rsidR="001E6D20" w:rsidP="003178A2" w:rsidRDefault="003178A2" w14:paraId="39A1F301" w14:textId="178CE9C4">
      <w:pPr>
        <w:pStyle w:val="Heading2"/>
        <w:numPr>
          <w:ilvl w:val="0"/>
          <w:numId w:val="0"/>
        </w:numPr>
        <w:ind w:left="720" w:hanging="720"/>
        <w:rPr>
          <w:lang w:val="en-CA"/>
        </w:rPr>
      </w:pPr>
      <w:bookmarkStart w:name="_Toc213259772" w:id="54"/>
      <w:bookmarkStart w:name="_Toc213674192" w:id="55"/>
      <w:r>
        <w:rPr>
          <w:lang w:val="en-CA"/>
        </w:rPr>
        <w:t>C.2</w:t>
      </w:r>
      <w:r>
        <w:rPr>
          <w:lang w:val="en-CA"/>
        </w:rPr>
        <w:tab/>
      </w:r>
      <w:r>
        <w:rPr>
          <w:lang w:val="en-CA"/>
        </w:rPr>
        <w:t>Proposed Changes to Ontario Regulation 82/98</w:t>
      </w:r>
      <w:bookmarkEnd w:id="54"/>
      <w:bookmarkEnd w:id="55"/>
    </w:p>
    <w:p w:rsidRPr="00BA2370" w:rsidR="00BA2370" w:rsidP="00BA2370" w:rsidRDefault="003178A2" w14:paraId="2545D3FD" w14:textId="5A24E4D0">
      <w:pPr>
        <w:pStyle w:val="BodyText125"/>
        <w:rPr>
          <w:lang w:val="en-CA" w:eastAsia="ja-JP"/>
        </w:rPr>
      </w:pPr>
      <w:r>
        <w:rPr>
          <w:lang w:val="en-CA" w:eastAsia="ja-JP"/>
        </w:rPr>
        <w:t xml:space="preserve">In addition to the proposed changes to the D.C.A., </w:t>
      </w:r>
      <w:r w:rsidRPr="00BA2370" w:rsidR="00BA2370">
        <w:rPr>
          <w:lang w:val="en-CA" w:eastAsia="ja-JP"/>
        </w:rPr>
        <w:t xml:space="preserve">the Province has proposed regulatory changes to </w:t>
      </w:r>
      <w:r w:rsidRPr="00BA2370" w:rsidR="00BA2370">
        <w:rPr>
          <w:i/>
          <w:iCs/>
          <w:lang w:val="en-CA" w:eastAsia="ja-JP"/>
        </w:rPr>
        <w:t xml:space="preserve">Ontario Regulation 82/98. </w:t>
      </w:r>
      <w:r w:rsidRPr="00BA2370" w:rsidR="00BA2370">
        <w:rPr>
          <w:lang w:val="en-CA" w:eastAsia="ja-JP"/>
        </w:rPr>
        <w:t>These changes are with respect to the following matters:</w:t>
      </w:r>
    </w:p>
    <w:p w:rsidRPr="00BA2370" w:rsidR="00BA2370" w:rsidP="00BA2370" w:rsidRDefault="00BA2370" w14:paraId="02E26116" w14:textId="77777777">
      <w:pPr>
        <w:pStyle w:val="BodyText125"/>
        <w:numPr>
          <w:ilvl w:val="0"/>
          <w:numId w:val="35"/>
        </w:numPr>
        <w:rPr>
          <w:lang w:val="en-CA" w:eastAsia="ja-JP"/>
        </w:rPr>
      </w:pPr>
      <w:r w:rsidRPr="00BA2370">
        <w:rPr>
          <w:lang w:val="en-CA" w:eastAsia="ja-JP"/>
        </w:rPr>
        <w:t xml:space="preserve">Merging of credits for water supply services and wastewater </w:t>
      </w:r>
      <w:proofErr w:type="gramStart"/>
      <w:r w:rsidRPr="00BA2370">
        <w:rPr>
          <w:lang w:val="en-CA" w:eastAsia="ja-JP"/>
        </w:rPr>
        <w:t>services;</w:t>
      </w:r>
      <w:proofErr w:type="gramEnd"/>
    </w:p>
    <w:p w:rsidRPr="00BA2370" w:rsidR="00BA2370" w:rsidP="00BA2370" w:rsidRDefault="00BA2370" w14:paraId="41B34A1B" w14:textId="77777777">
      <w:pPr>
        <w:pStyle w:val="BodyText125"/>
        <w:numPr>
          <w:ilvl w:val="0"/>
          <w:numId w:val="35"/>
        </w:numPr>
        <w:rPr>
          <w:lang w:val="en-CA" w:eastAsia="ja-JP"/>
        </w:rPr>
      </w:pPr>
      <w:r w:rsidRPr="00BA2370">
        <w:rPr>
          <w:lang w:val="en-CA" w:eastAsia="ja-JP"/>
        </w:rPr>
        <w:t xml:space="preserve">Making Benefit to Existing (B.T.E.) allocations more transparent in D.C. background </w:t>
      </w:r>
      <w:proofErr w:type="gramStart"/>
      <w:r w:rsidRPr="00BA2370">
        <w:rPr>
          <w:lang w:val="en-CA" w:eastAsia="ja-JP"/>
        </w:rPr>
        <w:t>studies;</w:t>
      </w:r>
      <w:proofErr w:type="gramEnd"/>
    </w:p>
    <w:p w:rsidRPr="00BA2370" w:rsidR="00BA2370" w:rsidP="00BA2370" w:rsidRDefault="00BA2370" w14:paraId="162EC1BC" w14:textId="77777777">
      <w:pPr>
        <w:pStyle w:val="BodyText125"/>
        <w:numPr>
          <w:ilvl w:val="0"/>
          <w:numId w:val="35"/>
        </w:numPr>
        <w:rPr>
          <w:lang w:val="en-CA" w:eastAsia="ja-JP"/>
        </w:rPr>
      </w:pPr>
      <w:r w:rsidRPr="00BA2370">
        <w:rPr>
          <w:lang w:val="en-CA" w:eastAsia="ja-JP"/>
        </w:rPr>
        <w:t>Detailing land acquisition costs in D.C. background studies; and</w:t>
      </w:r>
    </w:p>
    <w:p w:rsidRPr="00BA2370" w:rsidR="00BA2370" w:rsidP="00BA2370" w:rsidRDefault="00BA2370" w14:paraId="1ACAFE33" w14:textId="77777777">
      <w:pPr>
        <w:pStyle w:val="BodyText125"/>
        <w:numPr>
          <w:ilvl w:val="0"/>
          <w:numId w:val="35"/>
        </w:numPr>
        <w:rPr>
          <w:lang w:val="en-CA" w:eastAsia="ja-JP"/>
        </w:rPr>
      </w:pPr>
      <w:r w:rsidRPr="00BA2370">
        <w:rPr>
          <w:lang w:val="en-CA" w:eastAsia="ja-JP"/>
        </w:rPr>
        <w:t>Making information in financial statements relating to D.C.s more transparent and easily accessible.</w:t>
      </w:r>
    </w:p>
    <w:p w:rsidRPr="00BA2370" w:rsidR="00BA2370" w:rsidP="00BA2370" w:rsidRDefault="00BA2370" w14:paraId="7886A724" w14:textId="0B66D69D">
      <w:pPr>
        <w:pStyle w:val="BodyText125"/>
        <w:rPr>
          <w:lang w:val="en-CA" w:eastAsia="ja-JP"/>
        </w:rPr>
      </w:pPr>
      <w:r w:rsidRPr="00BA2370">
        <w:rPr>
          <w:lang w:val="en-CA" w:eastAsia="ja-JP"/>
        </w:rPr>
        <w:t xml:space="preserve">These changes are discussed further below.  Note that the draft regulation has not yet been released.  </w:t>
      </w:r>
      <w:r w:rsidR="00EF7993">
        <w:rPr>
          <w:lang w:val="en-CA" w:eastAsia="ja-JP"/>
        </w:rPr>
        <w:t>The discussion below is</w:t>
      </w:r>
      <w:r w:rsidRPr="00BA2370">
        <w:rPr>
          <w:lang w:val="en-CA" w:eastAsia="ja-JP"/>
        </w:rPr>
        <w:t xml:space="preserve"> based on the summary of the proposed changes provided on the Provincial Regulatory Registry website.</w:t>
      </w:r>
    </w:p>
    <w:p w:rsidR="00F960C7" w:rsidP="003E0ED8" w:rsidRDefault="00F960C7" w14:paraId="11B871CC" w14:textId="5F089611">
      <w:pPr>
        <w:pStyle w:val="Heading3"/>
        <w:numPr>
          <w:ilvl w:val="0"/>
          <w:numId w:val="0"/>
        </w:numPr>
        <w:ind w:left="850" w:hanging="850"/>
        <w:rPr>
          <w:lang w:val="en-CA"/>
        </w:rPr>
      </w:pPr>
      <w:bookmarkStart w:name="_Toc213259773" w:id="56"/>
      <w:bookmarkStart w:name="_Toc213674193" w:id="57"/>
      <w:r>
        <w:rPr>
          <w:lang w:val="en-CA"/>
        </w:rPr>
        <w:t>C.2.1</w:t>
      </w:r>
      <w:r>
        <w:rPr>
          <w:lang w:val="en-CA"/>
        </w:rPr>
        <w:tab/>
      </w:r>
      <w:r>
        <w:rPr>
          <w:lang w:val="en-CA"/>
        </w:rPr>
        <w:t>Merging of Credits</w:t>
      </w:r>
      <w:bookmarkEnd w:id="56"/>
      <w:bookmarkEnd w:id="57"/>
    </w:p>
    <w:p w:rsidRPr="00F960C7" w:rsidR="00F960C7" w:rsidP="00F960C7" w:rsidRDefault="00F960C7" w14:paraId="59CA6B0B" w14:textId="77777777">
      <w:pPr>
        <w:pStyle w:val="BodyText125"/>
        <w:rPr>
          <w:b/>
          <w:bCs/>
          <w:lang w:val="en-CA" w:eastAsia="ja-JP"/>
        </w:rPr>
      </w:pPr>
      <w:r w:rsidRPr="00F960C7">
        <w:rPr>
          <w:b/>
          <w:bCs/>
          <w:lang w:val="en-CA" w:eastAsia="ja-JP"/>
        </w:rPr>
        <w:t>Proposed Changes</w:t>
      </w:r>
    </w:p>
    <w:p w:rsidRPr="00F960C7" w:rsidR="00F960C7" w:rsidP="00F960C7" w:rsidRDefault="00633DBD" w14:paraId="45795B63" w14:textId="38C5EE3D">
      <w:pPr>
        <w:pStyle w:val="BodyText125"/>
        <w:rPr>
          <w:lang w:val="en-CA" w:eastAsia="ja-JP"/>
        </w:rPr>
      </w:pPr>
      <w:r w:rsidRPr="00116537">
        <w:rPr>
          <w:lang w:eastAsia="ja-JP"/>
        </w:rPr>
        <w:t xml:space="preserve">This proposed change </w:t>
      </w:r>
      <w:r>
        <w:rPr>
          <w:lang w:eastAsia="ja-JP"/>
        </w:rPr>
        <w:t>aims</w:t>
      </w:r>
      <w:r w:rsidRPr="00116537">
        <w:rPr>
          <w:lang w:eastAsia="ja-JP"/>
        </w:rPr>
        <w:t xml:space="preserve"> to merge water supply services and wastewater services for the purpose</w:t>
      </w:r>
      <w:r>
        <w:rPr>
          <w:lang w:eastAsia="ja-JP"/>
        </w:rPr>
        <w:t>s</w:t>
      </w:r>
      <w:r w:rsidRPr="00116537">
        <w:rPr>
          <w:lang w:eastAsia="ja-JP"/>
        </w:rPr>
        <w:t xml:space="preserve"> of credits.</w:t>
      </w:r>
      <w:r>
        <w:rPr>
          <w:lang w:eastAsia="ja-JP"/>
        </w:rPr>
        <w:t xml:space="preserve"> As provided in subsection 2 (4) of the D.C.A., </w:t>
      </w:r>
      <w:r w:rsidDel="001F0618">
        <w:rPr>
          <w:lang w:eastAsia="ja-JP"/>
        </w:rPr>
        <w:t>the D.C.</w:t>
      </w:r>
      <w:r>
        <w:rPr>
          <w:lang w:eastAsia="ja-JP"/>
        </w:rPr>
        <w:noBreakHyphen/>
      </w:r>
      <w:r w:rsidDel="001F0618">
        <w:rPr>
          <w:lang w:eastAsia="ja-JP"/>
        </w:rPr>
        <w:t xml:space="preserve">eligible </w:t>
      </w:r>
      <w:r>
        <w:rPr>
          <w:lang w:eastAsia="ja-JP"/>
        </w:rPr>
        <w:t xml:space="preserve">services </w:t>
      </w:r>
      <w:r w:rsidDel="001F0618">
        <w:rPr>
          <w:lang w:eastAsia="ja-JP"/>
        </w:rPr>
        <w:t xml:space="preserve">of </w:t>
      </w:r>
      <w:r>
        <w:rPr>
          <w:lang w:eastAsia="ja-JP"/>
        </w:rPr>
        <w:t xml:space="preserve">water supply and wastewater include distribution and treatment, </w:t>
      </w:r>
      <w:r w:rsidDel="00FE2560">
        <w:rPr>
          <w:lang w:eastAsia="ja-JP"/>
        </w:rPr>
        <w:t xml:space="preserve">and </w:t>
      </w:r>
      <w:r>
        <w:rPr>
          <w:lang w:eastAsia="ja-JP"/>
        </w:rPr>
        <w:t>sewers and treatment, respectively.</w:t>
      </w:r>
      <w:r w:rsidRPr="00F960C7" w:rsidR="00F960C7">
        <w:rPr>
          <w:lang w:val="en-CA" w:eastAsia="ja-JP"/>
        </w:rPr>
        <w:t xml:space="preserve"> </w:t>
      </w:r>
    </w:p>
    <w:p w:rsidRPr="0039776D" w:rsidR="009F2F2C" w:rsidP="009F2F2C" w:rsidRDefault="009F2F2C" w14:paraId="4650A0C4" w14:textId="7CD28F5E">
      <w:pPr>
        <w:pStyle w:val="BoldHeading"/>
        <w:rPr>
          <w:lang w:val="en-CA" w:eastAsia="ja-JP"/>
        </w:rPr>
      </w:pPr>
      <w:r w:rsidRPr="0039776D">
        <w:rPr>
          <w:lang w:val="en-CA" w:eastAsia="ja-JP"/>
        </w:rPr>
        <w:t xml:space="preserve">Potential Impact on D.C. Background Study Update </w:t>
      </w:r>
    </w:p>
    <w:p w:rsidRPr="00F960C7" w:rsidR="00F960C7" w:rsidP="003E0ED8" w:rsidRDefault="00E25D67" w14:paraId="412EA40A" w14:textId="6A53CC4A">
      <w:pPr>
        <w:pStyle w:val="BodyText125"/>
        <w:rPr>
          <w:lang w:val="en-CA" w:eastAsia="ja-JP"/>
        </w:rPr>
      </w:pPr>
      <w:r>
        <w:rPr>
          <w:lang w:val="en-CA" w:eastAsia="ja-JP"/>
        </w:rPr>
        <w:t xml:space="preserve">There are no anticipated impacts with respect to this D.C. Background Study Update for parks and recreation services. </w:t>
      </w:r>
    </w:p>
    <w:p w:rsidR="00DE5330" w:rsidP="00262DFD" w:rsidRDefault="00262DFD" w14:paraId="7323CF39" w14:textId="0656CBEF">
      <w:pPr>
        <w:pStyle w:val="Heading3"/>
        <w:numPr>
          <w:ilvl w:val="0"/>
          <w:numId w:val="0"/>
        </w:numPr>
        <w:ind w:left="850" w:hanging="850"/>
        <w:rPr>
          <w:lang w:val="en-CA"/>
        </w:rPr>
      </w:pPr>
      <w:bookmarkStart w:name="_Toc213259774" w:id="58"/>
      <w:bookmarkStart w:name="_Toc213674194" w:id="59"/>
      <w:r>
        <w:rPr>
          <w:lang w:val="en-CA"/>
        </w:rPr>
        <w:t>C.2.2</w:t>
      </w:r>
      <w:r>
        <w:rPr>
          <w:lang w:val="en-CA"/>
        </w:rPr>
        <w:tab/>
      </w:r>
      <w:r>
        <w:rPr>
          <w:lang w:val="en-CA"/>
        </w:rPr>
        <w:t>Transparency of B.T.E. Calculations</w:t>
      </w:r>
      <w:bookmarkEnd w:id="58"/>
      <w:bookmarkEnd w:id="59"/>
    </w:p>
    <w:p w:rsidRPr="00E66106" w:rsidR="00E66106" w:rsidP="00E66106" w:rsidRDefault="00E66106" w14:paraId="09AA53F2" w14:textId="77777777">
      <w:pPr>
        <w:pStyle w:val="BodyText125"/>
        <w:rPr>
          <w:b/>
          <w:bCs/>
          <w:lang w:val="en-CA" w:eastAsia="ja-JP"/>
        </w:rPr>
      </w:pPr>
      <w:r w:rsidRPr="00E66106">
        <w:rPr>
          <w:b/>
          <w:bCs/>
          <w:lang w:val="en-CA" w:eastAsia="ja-JP"/>
        </w:rPr>
        <w:t>Proposed Changes</w:t>
      </w:r>
    </w:p>
    <w:p w:rsidRPr="00E66106" w:rsidR="00E66106" w:rsidP="00E66106" w:rsidRDefault="00E66106" w14:paraId="66631A0B" w14:textId="77777777">
      <w:pPr>
        <w:pStyle w:val="BodyText125"/>
        <w:rPr>
          <w:lang w:val="en-CA" w:eastAsia="ja-JP"/>
        </w:rPr>
      </w:pPr>
      <w:r w:rsidRPr="00E66106">
        <w:rPr>
          <w:lang w:val="en-CA" w:eastAsia="ja-JP"/>
        </w:rPr>
        <w:t>The proposed regulatory changes would require municipalities to provide greater details with respect to how capital costs are determined and how the growth-related and non-growth-related shares of the costs are determined.  The proposed wording appears to require this for each service, rather than on a project-by-project basis.</w:t>
      </w:r>
    </w:p>
    <w:p w:rsidRPr="00345A0E" w:rsidR="00D1472D" w:rsidP="00D1472D" w:rsidRDefault="00D1472D" w14:paraId="5AE23AA4" w14:textId="28E8E034">
      <w:pPr>
        <w:pStyle w:val="BoldHeading"/>
        <w:rPr>
          <w:lang w:val="en-CA" w:eastAsia="ja-JP"/>
        </w:rPr>
      </w:pPr>
      <w:r w:rsidRPr="00345A0E">
        <w:rPr>
          <w:lang w:val="en-CA" w:eastAsia="ja-JP"/>
        </w:rPr>
        <w:t xml:space="preserve">Potential Impact on D.C. Background Study Update </w:t>
      </w:r>
    </w:p>
    <w:p w:rsidR="00860CC7" w:rsidP="00860CC7" w:rsidRDefault="00DC1D5A" w14:paraId="014B482C" w14:textId="3AF751D4">
      <w:pPr>
        <w:pStyle w:val="BodyText125"/>
        <w:rPr>
          <w:lang w:val="en-CA" w:eastAsia="ja-JP"/>
        </w:rPr>
      </w:pPr>
      <w:r w:rsidRPr="00473E5D">
        <w:rPr>
          <w:lang w:val="en-CA" w:eastAsia="ja-JP"/>
        </w:rPr>
        <w:t>To comply with this proposed change, t</w:t>
      </w:r>
      <w:r w:rsidRPr="00345A0E" w:rsidR="00B1719D">
        <w:rPr>
          <w:lang w:val="en-CA" w:eastAsia="ja-JP"/>
        </w:rPr>
        <w:t xml:space="preserve">he following table provides a summary of </w:t>
      </w:r>
      <w:r w:rsidRPr="00345A0E" w:rsidR="009F2F2C">
        <w:rPr>
          <w:lang w:val="en-CA" w:eastAsia="ja-JP"/>
        </w:rPr>
        <w:t xml:space="preserve">how </w:t>
      </w:r>
      <w:r w:rsidRPr="00345A0E" w:rsidR="00B1719D">
        <w:rPr>
          <w:lang w:val="en-CA" w:eastAsia="ja-JP"/>
        </w:rPr>
        <w:t>the growth-related shares for each project were determined.</w:t>
      </w:r>
      <w:r w:rsidR="00B1719D">
        <w:rPr>
          <w:lang w:val="en-CA" w:eastAsia="ja-JP"/>
        </w:rPr>
        <w:t xml:space="preserve"> </w:t>
      </w:r>
      <w:r w:rsidR="00860CC7">
        <w:rPr>
          <w:lang w:val="en-CA" w:eastAsia="ja-JP"/>
        </w:rPr>
        <w:t>With respect to the methodology in determining the capital costs, the following approaches were take</w:t>
      </w:r>
      <w:r w:rsidR="003E0ED8">
        <w:rPr>
          <w:lang w:val="en-CA" w:eastAsia="ja-JP"/>
        </w:rPr>
        <w:t>n</w:t>
      </w:r>
    </w:p>
    <w:p w:rsidR="00860CC7" w:rsidP="00860CC7" w:rsidRDefault="00860CC7" w14:paraId="29FAD9DF" w14:textId="77777777">
      <w:pPr>
        <w:pStyle w:val="BodyTextbullets125"/>
        <w:rPr>
          <w:lang w:val="en-CA" w:eastAsia="ja-JP"/>
        </w:rPr>
      </w:pPr>
      <w:r>
        <w:rPr>
          <w:lang w:val="en-CA" w:eastAsia="ja-JP"/>
        </w:rPr>
        <w:t>Facilities – the anticipated size of the facility was multiplied by</w:t>
      </w:r>
      <w:r w:rsidR="00282C62">
        <w:rPr>
          <w:lang w:val="en-CA" w:eastAsia="ja-JP"/>
        </w:rPr>
        <w:t xml:space="preserve"> the replacement cost of similar recreation facilities</w:t>
      </w:r>
      <w:r>
        <w:rPr>
          <w:lang w:val="en-CA" w:eastAsia="ja-JP"/>
        </w:rPr>
        <w:t>.</w:t>
      </w:r>
    </w:p>
    <w:p w:rsidR="008A125F" w:rsidP="00860CC7" w:rsidRDefault="008A125F" w14:paraId="2287B4C5" w14:textId="6EC63B12">
      <w:pPr>
        <w:pStyle w:val="BodyTextbullets125"/>
        <w:rPr>
          <w:lang w:val="en-CA" w:eastAsia="ja-JP"/>
        </w:rPr>
      </w:pPr>
      <w:r>
        <w:rPr>
          <w:lang w:val="en-CA" w:eastAsia="ja-JP"/>
        </w:rPr>
        <w:t xml:space="preserve">Parkland Development – </w:t>
      </w:r>
      <w:r w:rsidR="003E0ED8">
        <w:rPr>
          <w:lang w:val="en-CA" w:eastAsia="ja-JP"/>
        </w:rPr>
        <w:t>based on the anticipated new parkland</w:t>
      </w:r>
      <w:r w:rsidR="00144E26">
        <w:rPr>
          <w:lang w:val="en-CA" w:eastAsia="ja-JP"/>
        </w:rPr>
        <w:t xml:space="preserve">, development costs have been applied to the total acres based on recent construction costs. </w:t>
      </w:r>
    </w:p>
    <w:p w:rsidR="008A125F" w:rsidP="00860CC7" w:rsidRDefault="008A125F" w14:paraId="449C7745" w14:textId="630127D8">
      <w:pPr>
        <w:pStyle w:val="BodyTextbullets125"/>
        <w:rPr>
          <w:lang w:val="en-CA" w:eastAsia="ja-JP"/>
        </w:rPr>
      </w:pPr>
      <w:r>
        <w:rPr>
          <w:lang w:val="en-CA" w:eastAsia="ja-JP"/>
        </w:rPr>
        <w:t xml:space="preserve">Amenities </w:t>
      </w:r>
      <w:r w:rsidR="00144E26">
        <w:rPr>
          <w:lang w:val="en-CA" w:eastAsia="ja-JP"/>
        </w:rPr>
        <w:t xml:space="preserve">– the new amenities to be added to new parks are based on standards set out by the </w:t>
      </w:r>
      <w:proofErr w:type="gramStart"/>
      <w:r w:rsidR="00144E26">
        <w:rPr>
          <w:lang w:val="en-CA" w:eastAsia="ja-JP"/>
        </w:rPr>
        <w:t>City</w:t>
      </w:r>
      <w:proofErr w:type="gramEnd"/>
      <w:r w:rsidR="00144E26">
        <w:rPr>
          <w:lang w:val="en-CA" w:eastAsia="ja-JP"/>
        </w:rPr>
        <w:t xml:space="preserve"> for new parks multiplied by current cost estimates for the amenities. </w:t>
      </w:r>
    </w:p>
    <w:p w:rsidR="008A125F" w:rsidP="00860CC7" w:rsidRDefault="008A125F" w14:paraId="1B8E3545" w14:textId="4369F877">
      <w:pPr>
        <w:pStyle w:val="BodyTextbullets125"/>
        <w:rPr>
          <w:lang w:val="en-CA" w:eastAsia="ja-JP"/>
        </w:rPr>
      </w:pPr>
      <w:r>
        <w:rPr>
          <w:lang w:val="en-CA" w:eastAsia="ja-JP"/>
        </w:rPr>
        <w:t xml:space="preserve">Trails – </w:t>
      </w:r>
      <w:r w:rsidR="00473E5D">
        <w:rPr>
          <w:lang w:val="en-CA" w:eastAsia="ja-JP"/>
        </w:rPr>
        <w:t xml:space="preserve">the cost per metre to construct new trails was multiplied by the anticipated new lengths of trails. </w:t>
      </w:r>
    </w:p>
    <w:p w:rsidR="008A125F" w:rsidP="00473E5D" w:rsidRDefault="008A125F" w14:paraId="330EE72C" w14:textId="0EEB0245">
      <w:pPr>
        <w:pStyle w:val="BodyTextbullets125"/>
        <w:rPr>
          <w:lang w:val="en-CA" w:eastAsia="ja-JP"/>
        </w:rPr>
        <w:sectPr w:rsidR="008A125F" w:rsidSect="00AB6286">
          <w:footnotePr>
            <w:numRestart w:val="eachPage"/>
          </w:footnotePr>
          <w:pgSz w:w="12240" w:h="20160" w:orient="portrait" w:code="5"/>
          <w:pgMar w:top="1440" w:right="1440" w:bottom="1440" w:left="1440" w:header="432" w:footer="619" w:gutter="0"/>
          <w:cols w:space="708"/>
          <w:titlePg/>
          <w:docGrid w:linePitch="360"/>
        </w:sectPr>
      </w:pPr>
      <w:r>
        <w:rPr>
          <w:lang w:val="en-CA" w:eastAsia="ja-JP"/>
        </w:rPr>
        <w:t xml:space="preserve">Recreation Land </w:t>
      </w:r>
      <w:r w:rsidR="00473E5D">
        <w:rPr>
          <w:lang w:val="en-CA" w:eastAsia="ja-JP"/>
        </w:rPr>
        <w:t xml:space="preserve">– the anticipated acres of land related to recreation were multiplied by the value of land to determine capital costs. </w:t>
      </w:r>
    </w:p>
    <w:p w:rsidR="00DC1D5A" w:rsidP="00473E5D" w:rsidRDefault="00F47251" w14:paraId="05210D55" w14:textId="22C8255A">
      <w:pPr>
        <w:pStyle w:val="FigureTableTitles"/>
        <w:rPr>
          <w:lang w:val="en-CA" w:eastAsia="ja-JP"/>
        </w:rPr>
      </w:pPr>
      <w:r>
        <w:rPr>
          <w:lang w:val="en-CA" w:eastAsia="ja-JP"/>
        </w:rPr>
        <w:t>Table C-</w:t>
      </w:r>
      <w:r w:rsidR="00E50CD2">
        <w:rPr>
          <w:lang w:val="en-CA" w:eastAsia="ja-JP"/>
        </w:rPr>
        <w:t>5</w:t>
      </w:r>
    </w:p>
    <w:p w:rsidR="00F47251" w:rsidP="00473E5D" w:rsidRDefault="00F47251" w14:paraId="47750711" w14:textId="673B53C7">
      <w:pPr>
        <w:pStyle w:val="FigureTableTitles"/>
        <w:rPr>
          <w:lang w:val="en-CA" w:eastAsia="ja-JP"/>
        </w:rPr>
      </w:pPr>
      <w:r>
        <w:rPr>
          <w:lang w:val="en-CA" w:eastAsia="ja-JP"/>
        </w:rPr>
        <w:t>City of Cambridge</w:t>
      </w:r>
    </w:p>
    <w:p w:rsidR="00F47251" w:rsidP="00F47251" w:rsidRDefault="00F47251" w14:paraId="3D481CB1" w14:textId="51878482">
      <w:pPr>
        <w:pStyle w:val="FigureTableTitles"/>
        <w:rPr>
          <w:lang w:val="en-CA" w:eastAsia="ja-JP"/>
        </w:rPr>
      </w:pPr>
      <w:r>
        <w:rPr>
          <w:lang w:val="en-CA" w:eastAsia="ja-JP"/>
        </w:rPr>
        <w:t>Growth/Non-Growth Allocations</w:t>
      </w:r>
    </w:p>
    <w:p w:rsidR="00F47251" w:rsidP="00F47251" w:rsidRDefault="00E50CD2" w14:paraId="2C6EDB30" w14:textId="21D62071">
      <w:pPr>
        <w:pStyle w:val="BodyText125"/>
        <w:rPr>
          <w:lang w:val="en-CA" w:eastAsia="ja-JP"/>
        </w:rPr>
      </w:pPr>
      <w:r w:rsidRPr="00E50CD2">
        <w:rPr>
          <w:noProof/>
        </w:rPr>
        <w:drawing>
          <wp:inline distT="0" distB="0" distL="0" distR="0" wp14:anchorId="138C7C33" wp14:editId="6A4758E6">
            <wp:extent cx="10972800" cy="4791075"/>
            <wp:effectExtent l="0" t="0" r="0" b="9525"/>
            <wp:docPr id="1624037887" name="Picture 22" descr="Growth/Non-Growth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37887" name="Picture 22" descr="Growth/Non-Growth Allocation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972800" cy="4791075"/>
                    </a:xfrm>
                    <a:prstGeom prst="rect">
                      <a:avLst/>
                    </a:prstGeom>
                    <a:noFill/>
                    <a:ln>
                      <a:noFill/>
                    </a:ln>
                  </pic:spPr>
                </pic:pic>
              </a:graphicData>
            </a:graphic>
          </wp:inline>
        </w:drawing>
      </w:r>
    </w:p>
    <w:p w:rsidR="00E50CD2" w:rsidP="00E50CD2" w:rsidRDefault="00E50CD2" w14:paraId="023B28DD" w14:textId="0D789F87">
      <w:pPr>
        <w:pStyle w:val="FigureTableTitles"/>
        <w:rPr>
          <w:lang w:val="en-CA" w:eastAsia="ja-JP"/>
        </w:rPr>
      </w:pPr>
      <w:r>
        <w:rPr>
          <w:lang w:val="en-CA" w:eastAsia="ja-JP"/>
        </w:rPr>
        <w:t>Table C-5 (Cont’d)</w:t>
      </w:r>
    </w:p>
    <w:p w:rsidR="00E50CD2" w:rsidP="00F47251" w:rsidRDefault="00A2693A" w14:paraId="4F70D94E" w14:textId="4A47FBE0">
      <w:pPr>
        <w:pStyle w:val="BodyText125"/>
        <w:rPr>
          <w:lang w:val="en-CA" w:eastAsia="ja-JP"/>
        </w:rPr>
      </w:pPr>
      <w:r w:rsidRPr="00A2693A">
        <w:rPr>
          <w:noProof/>
        </w:rPr>
        <w:drawing>
          <wp:inline distT="0" distB="0" distL="0" distR="0" wp14:anchorId="663E48CA" wp14:editId="17E64062">
            <wp:extent cx="10972800" cy="4791075"/>
            <wp:effectExtent l="0" t="0" r="0" b="9525"/>
            <wp:docPr id="1687731574" name="Picture 23" descr="Growth/Non-Growth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31574" name="Picture 23" descr="Growth/Non-Growth Allocation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72800" cy="4791075"/>
                    </a:xfrm>
                    <a:prstGeom prst="rect">
                      <a:avLst/>
                    </a:prstGeom>
                    <a:noFill/>
                    <a:ln>
                      <a:noFill/>
                    </a:ln>
                  </pic:spPr>
                </pic:pic>
              </a:graphicData>
            </a:graphic>
          </wp:inline>
        </w:drawing>
      </w:r>
    </w:p>
    <w:p w:rsidR="00A2693A" w:rsidP="00F47251" w:rsidRDefault="00A2693A" w14:paraId="5B7C2722" w14:textId="77777777">
      <w:pPr>
        <w:pStyle w:val="BodyText125"/>
        <w:rPr>
          <w:lang w:val="en-CA" w:eastAsia="ja-JP"/>
        </w:rPr>
      </w:pPr>
    </w:p>
    <w:p w:rsidR="00345A0E" w:rsidP="00473E5D" w:rsidRDefault="00345A0E" w14:paraId="10C2B60C" w14:textId="23E2B120">
      <w:pPr>
        <w:pStyle w:val="FigureTableTitles"/>
        <w:rPr>
          <w:lang w:val="en-CA" w:eastAsia="ja-JP"/>
        </w:rPr>
      </w:pPr>
      <w:r>
        <w:rPr>
          <w:lang w:val="en-CA" w:eastAsia="ja-JP"/>
        </w:rPr>
        <w:t>Table C-5 (Cont’d)</w:t>
      </w:r>
    </w:p>
    <w:p w:rsidR="00345A0E" w:rsidP="00F47251" w:rsidRDefault="00345A0E" w14:paraId="176B688F" w14:textId="60BCD19F">
      <w:pPr>
        <w:pStyle w:val="BodyText125"/>
        <w:rPr>
          <w:lang w:val="en-CA" w:eastAsia="ja-JP"/>
        </w:rPr>
      </w:pPr>
      <w:r w:rsidRPr="00345A0E">
        <w:rPr>
          <w:noProof/>
        </w:rPr>
        <w:drawing>
          <wp:inline distT="0" distB="0" distL="0" distR="0" wp14:anchorId="37E8FA39" wp14:editId="7496A98D">
            <wp:extent cx="10972800" cy="4104005"/>
            <wp:effectExtent l="0" t="0" r="0" b="0"/>
            <wp:docPr id="408478669" name="Picture 24" descr="Growth/Non-Growth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78669" name="Picture 24" descr="Growth/Non-Growth Allocation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972800" cy="4104005"/>
                    </a:xfrm>
                    <a:prstGeom prst="rect">
                      <a:avLst/>
                    </a:prstGeom>
                    <a:noFill/>
                    <a:ln>
                      <a:noFill/>
                    </a:ln>
                  </pic:spPr>
                </pic:pic>
              </a:graphicData>
            </a:graphic>
          </wp:inline>
        </w:drawing>
      </w:r>
    </w:p>
    <w:p w:rsidR="00F47251" w:rsidP="00E66106" w:rsidRDefault="00F47251" w14:paraId="5DC7593A" w14:textId="77777777">
      <w:pPr>
        <w:pStyle w:val="Heading3"/>
        <w:numPr>
          <w:ilvl w:val="0"/>
          <w:numId w:val="0"/>
        </w:numPr>
        <w:ind w:left="850" w:hanging="850"/>
        <w:rPr>
          <w:lang w:val="en-CA"/>
        </w:rPr>
        <w:sectPr w:rsidR="00F47251" w:rsidSect="00473E5D">
          <w:footnotePr>
            <w:numRestart w:val="eachPage"/>
          </w:footnotePr>
          <w:pgSz w:w="20160" w:h="12240" w:orient="landscape" w:code="5"/>
          <w:pgMar w:top="1440" w:right="1440" w:bottom="1440" w:left="1440" w:header="432" w:footer="619" w:gutter="0"/>
          <w:cols w:space="708"/>
          <w:titlePg/>
          <w:docGrid w:linePitch="360"/>
        </w:sectPr>
      </w:pPr>
    </w:p>
    <w:p w:rsidR="00E66106" w:rsidP="00E66106" w:rsidRDefault="00E66106" w14:paraId="4A196712" w14:textId="73595723">
      <w:pPr>
        <w:pStyle w:val="Heading3"/>
        <w:numPr>
          <w:ilvl w:val="0"/>
          <w:numId w:val="0"/>
        </w:numPr>
        <w:ind w:left="850" w:hanging="850"/>
        <w:rPr>
          <w:lang w:val="en-CA"/>
        </w:rPr>
      </w:pPr>
      <w:bookmarkStart w:name="_Toc213259775" w:id="60"/>
      <w:bookmarkStart w:name="_Toc213674195" w:id="61"/>
      <w:r>
        <w:rPr>
          <w:lang w:val="en-CA"/>
        </w:rPr>
        <w:t>C.2.3</w:t>
      </w:r>
      <w:r>
        <w:rPr>
          <w:lang w:val="en-CA"/>
        </w:rPr>
        <w:tab/>
      </w:r>
      <w:r>
        <w:rPr>
          <w:lang w:val="en-CA"/>
        </w:rPr>
        <w:t>Details of Land Acquisition</w:t>
      </w:r>
      <w:bookmarkEnd w:id="60"/>
      <w:bookmarkEnd w:id="61"/>
    </w:p>
    <w:p w:rsidRPr="00716623" w:rsidR="00716623" w:rsidP="00716623" w:rsidRDefault="00716623" w14:paraId="5FFA948C" w14:textId="77777777">
      <w:pPr>
        <w:pStyle w:val="BodyText125"/>
        <w:rPr>
          <w:b/>
          <w:bCs/>
          <w:lang w:val="en-CA" w:eastAsia="ja-JP"/>
        </w:rPr>
      </w:pPr>
      <w:r w:rsidRPr="00716623">
        <w:rPr>
          <w:b/>
          <w:bCs/>
          <w:lang w:val="en-CA" w:eastAsia="ja-JP"/>
        </w:rPr>
        <w:t>Proposed Changes</w:t>
      </w:r>
    </w:p>
    <w:p w:rsidRPr="00716623" w:rsidR="00716623" w:rsidP="00716623" w:rsidRDefault="00716623" w14:paraId="2B219C5F" w14:textId="77777777">
      <w:pPr>
        <w:pStyle w:val="BodyText125"/>
        <w:rPr>
          <w:lang w:val="en-CA" w:eastAsia="ja-JP"/>
        </w:rPr>
      </w:pPr>
      <w:r w:rsidRPr="00716623">
        <w:rPr>
          <w:lang w:val="en-CA" w:eastAsia="ja-JP"/>
        </w:rPr>
        <w:t>It is proposed that land acquisition capital needs shall be treated as a class of service.  As such, Section 8 of Ontario Regulation 82/98 will be amended to require land acquisition costs be included in the D.C. background presentation of:</w:t>
      </w:r>
    </w:p>
    <w:p w:rsidRPr="00716623" w:rsidR="00716623" w:rsidP="00473E5D" w:rsidRDefault="00716623" w14:paraId="4378B65D" w14:textId="77777777">
      <w:pPr>
        <w:pStyle w:val="BodyTextbullets125"/>
        <w:rPr>
          <w:lang w:val="en-CA" w:eastAsia="ja-JP"/>
        </w:rPr>
      </w:pPr>
      <w:r w:rsidRPr="00716623">
        <w:rPr>
          <w:lang w:val="en-CA" w:eastAsia="ja-JP"/>
        </w:rPr>
        <w:t xml:space="preserve">The total of the estimated capital costs relating to the </w:t>
      </w:r>
      <w:proofErr w:type="gramStart"/>
      <w:r w:rsidRPr="00716623">
        <w:rPr>
          <w:lang w:val="en-CA" w:eastAsia="ja-JP"/>
        </w:rPr>
        <w:t>service;</w:t>
      </w:r>
      <w:proofErr w:type="gramEnd"/>
    </w:p>
    <w:p w:rsidRPr="00716623" w:rsidR="00716623" w:rsidP="00473E5D" w:rsidRDefault="00716623" w14:paraId="08F8DD10" w14:textId="77777777">
      <w:pPr>
        <w:pStyle w:val="BodyTextbullets125"/>
        <w:rPr>
          <w:lang w:val="en-CA" w:eastAsia="ja-JP"/>
        </w:rPr>
      </w:pPr>
      <w:r w:rsidRPr="00716623">
        <w:rPr>
          <w:lang w:val="en-CA" w:eastAsia="ja-JP"/>
        </w:rPr>
        <w:t xml:space="preserve">The allocation of the total of the estimated costs between costs that would benefit new development and costs that would benefit existing </w:t>
      </w:r>
      <w:proofErr w:type="gramStart"/>
      <w:r w:rsidRPr="00716623">
        <w:rPr>
          <w:lang w:val="en-CA" w:eastAsia="ja-JP"/>
        </w:rPr>
        <w:t>development;</w:t>
      </w:r>
      <w:proofErr w:type="gramEnd"/>
    </w:p>
    <w:p w:rsidRPr="00716623" w:rsidR="00716623" w:rsidP="00473E5D" w:rsidRDefault="00716623" w14:paraId="4E456908" w14:textId="77777777">
      <w:pPr>
        <w:pStyle w:val="BodyTextbullets125"/>
        <w:rPr>
          <w:lang w:val="en-CA" w:eastAsia="ja-JP"/>
        </w:rPr>
      </w:pPr>
      <w:r w:rsidRPr="00716623">
        <w:rPr>
          <w:lang w:val="en-CA" w:eastAsia="ja-JP"/>
        </w:rPr>
        <w:t xml:space="preserve">The total of the estimated capital costs relating to the service that will be incurred during the term of the proposed development charge </w:t>
      </w:r>
      <w:proofErr w:type="gramStart"/>
      <w:r w:rsidRPr="00716623">
        <w:rPr>
          <w:lang w:val="en-CA" w:eastAsia="ja-JP"/>
        </w:rPr>
        <w:t>by-law;</w:t>
      </w:r>
      <w:proofErr w:type="gramEnd"/>
    </w:p>
    <w:p w:rsidRPr="00716623" w:rsidR="00716623" w:rsidP="00473E5D" w:rsidRDefault="00716623" w14:paraId="57DB36EA" w14:textId="77777777">
      <w:pPr>
        <w:pStyle w:val="BodyTextbullets125"/>
        <w:rPr>
          <w:lang w:val="en-CA" w:eastAsia="ja-JP"/>
        </w:rPr>
      </w:pPr>
      <w:r w:rsidRPr="00716623">
        <w:rPr>
          <w:lang w:val="en-CA" w:eastAsia="ja-JP"/>
        </w:rPr>
        <w:t>The allocation of the costs incurred during the term of the proposed by-law between costs that would benefit new development and costs that would benefit existing development; and</w:t>
      </w:r>
    </w:p>
    <w:p w:rsidRPr="00716623" w:rsidR="00716623" w:rsidP="00473E5D" w:rsidRDefault="00716623" w14:paraId="0FD69523" w14:textId="77777777">
      <w:pPr>
        <w:pStyle w:val="BodyTextbullets125"/>
        <w:rPr>
          <w:lang w:val="en-CA" w:eastAsia="ja-JP"/>
        </w:rPr>
      </w:pPr>
      <w:r w:rsidRPr="00716623">
        <w:rPr>
          <w:lang w:val="en-CA" w:eastAsia="ja-JP"/>
        </w:rPr>
        <w:t>The estimated and actual value of credits that are being carried forward relating to the service.</w:t>
      </w:r>
    </w:p>
    <w:p w:rsidRPr="0039776D" w:rsidR="00D1472D" w:rsidP="00D1472D" w:rsidRDefault="00D1472D" w14:paraId="6F324F53" w14:textId="7FCE7BE9">
      <w:pPr>
        <w:pStyle w:val="BoldHeading"/>
        <w:rPr>
          <w:lang w:val="en-CA" w:eastAsia="ja-JP"/>
        </w:rPr>
      </w:pPr>
      <w:r w:rsidRPr="0039776D">
        <w:rPr>
          <w:lang w:val="en-CA" w:eastAsia="ja-JP"/>
        </w:rPr>
        <w:t xml:space="preserve">Potential Impact on D.C. Background Study Update </w:t>
      </w:r>
    </w:p>
    <w:p w:rsidRPr="00473E5D" w:rsidR="00716623" w:rsidP="00716623" w:rsidRDefault="00D1472D" w14:paraId="3624294C" w14:textId="2866582C">
      <w:pPr>
        <w:pStyle w:val="BodyText125"/>
        <w:rPr>
          <w:lang w:val="en-CA" w:eastAsia="ja-JP"/>
        </w:rPr>
      </w:pPr>
      <w:r>
        <w:rPr>
          <w:lang w:val="en-CA" w:eastAsia="ja-JP"/>
        </w:rPr>
        <w:t xml:space="preserve">Based on the analysis presented in Section C.1.1 above, the above requirements would be met. </w:t>
      </w:r>
    </w:p>
    <w:p w:rsidR="00E66106" w:rsidP="00716623" w:rsidRDefault="00716623" w14:paraId="142E6C17" w14:textId="31636057">
      <w:pPr>
        <w:pStyle w:val="Heading3"/>
        <w:numPr>
          <w:ilvl w:val="0"/>
          <w:numId w:val="0"/>
        </w:numPr>
        <w:ind w:left="850" w:hanging="850"/>
        <w:rPr>
          <w:lang w:val="en-CA"/>
        </w:rPr>
      </w:pPr>
      <w:bookmarkStart w:name="_Toc213259776" w:id="62"/>
      <w:bookmarkStart w:name="_Toc213674196" w:id="63"/>
      <w:r>
        <w:rPr>
          <w:lang w:val="en-CA"/>
        </w:rPr>
        <w:t>C.2.4</w:t>
      </w:r>
      <w:r>
        <w:rPr>
          <w:lang w:val="en-CA"/>
        </w:rPr>
        <w:tab/>
      </w:r>
      <w:r>
        <w:rPr>
          <w:lang w:val="en-CA"/>
        </w:rPr>
        <w:t>Information Accessibility</w:t>
      </w:r>
      <w:bookmarkEnd w:id="62"/>
      <w:bookmarkEnd w:id="63"/>
    </w:p>
    <w:p w:rsidRPr="0043560D" w:rsidR="0043560D" w:rsidP="0043560D" w:rsidRDefault="0043560D" w14:paraId="074A448B" w14:textId="77777777">
      <w:pPr>
        <w:pStyle w:val="BodyText125"/>
        <w:rPr>
          <w:b/>
          <w:bCs/>
          <w:lang w:val="en-CA" w:eastAsia="ja-JP"/>
        </w:rPr>
      </w:pPr>
      <w:r w:rsidRPr="0043560D">
        <w:rPr>
          <w:b/>
          <w:bCs/>
          <w:lang w:val="en-CA" w:eastAsia="ja-JP"/>
        </w:rPr>
        <w:t>Proposed Changes</w:t>
      </w:r>
    </w:p>
    <w:p w:rsidRPr="0043560D" w:rsidR="0043560D" w:rsidP="0043560D" w:rsidRDefault="0043560D" w14:paraId="473440FE" w14:textId="77777777">
      <w:pPr>
        <w:pStyle w:val="BodyText125"/>
        <w:rPr>
          <w:lang w:val="en-CA" w:eastAsia="ja-JP"/>
        </w:rPr>
      </w:pPr>
      <w:r w:rsidRPr="0043560D">
        <w:rPr>
          <w:lang w:val="en-CA" w:eastAsia="ja-JP"/>
        </w:rPr>
        <w:t>The proposed changes increase reporting requirements for the Annual Treasurer’s Statements to include:</w:t>
      </w:r>
    </w:p>
    <w:p w:rsidRPr="0043560D" w:rsidR="0043560D" w:rsidP="00473E5D" w:rsidRDefault="0043560D" w14:paraId="3AAE2877" w14:textId="77777777">
      <w:pPr>
        <w:pStyle w:val="BodyTextbullets125"/>
        <w:rPr>
          <w:lang w:val="en-CA" w:eastAsia="ja-JP"/>
        </w:rPr>
      </w:pPr>
      <w:r w:rsidRPr="0043560D">
        <w:rPr>
          <w:lang w:val="en-CA" w:eastAsia="ja-JP"/>
        </w:rPr>
        <w:t xml:space="preserve">The amount from each reserve fund that was committed to a project, but had not been spent, as of the end of the </w:t>
      </w:r>
      <w:proofErr w:type="gramStart"/>
      <w:r w:rsidRPr="0043560D">
        <w:rPr>
          <w:lang w:val="en-CA" w:eastAsia="ja-JP"/>
        </w:rPr>
        <w:t>year;</w:t>
      </w:r>
      <w:proofErr w:type="gramEnd"/>
    </w:p>
    <w:p w:rsidRPr="0043560D" w:rsidR="0043560D" w:rsidP="00473E5D" w:rsidRDefault="0043560D" w14:paraId="46532F0D" w14:textId="77777777">
      <w:pPr>
        <w:pStyle w:val="BodyTextbullets125"/>
        <w:rPr>
          <w:lang w:val="en-CA" w:eastAsia="ja-JP"/>
        </w:rPr>
      </w:pPr>
      <w:r w:rsidRPr="0043560D">
        <w:rPr>
          <w:lang w:val="en-CA" w:eastAsia="ja-JP"/>
        </w:rPr>
        <w:t>The amount of debt that had been issued for a project as of the end of the year; and</w:t>
      </w:r>
    </w:p>
    <w:p w:rsidRPr="0043560D" w:rsidR="0043560D" w:rsidP="00473E5D" w:rsidRDefault="0043560D" w14:paraId="0040ED0E" w14:textId="77777777">
      <w:pPr>
        <w:pStyle w:val="BodyTextbullets125"/>
        <w:rPr>
          <w:lang w:val="en-CA" w:eastAsia="ja-JP"/>
        </w:rPr>
      </w:pPr>
      <w:r w:rsidRPr="0043560D">
        <w:rPr>
          <w:lang w:val="en-CA" w:eastAsia="ja-JP"/>
        </w:rPr>
        <w:t>Identify where in the D.C. background study the project's capital costs were estimated.</w:t>
      </w:r>
    </w:p>
    <w:p w:rsidRPr="0043560D" w:rsidR="0043560D" w:rsidP="0043560D" w:rsidRDefault="0043560D" w14:paraId="55D2D1B4" w14:textId="77777777">
      <w:pPr>
        <w:pStyle w:val="BodyText125"/>
        <w:rPr>
          <w:lang w:val="en-CA" w:eastAsia="ja-JP"/>
        </w:rPr>
      </w:pPr>
      <w:r w:rsidRPr="0043560D">
        <w:rPr>
          <w:lang w:val="en-CA" w:eastAsia="ja-JP"/>
        </w:rPr>
        <w:t>This would not apply in circumstances where a municipality uses a unique identifier in both background studies and treasurer's statements to identify each project.</w:t>
      </w:r>
    </w:p>
    <w:p w:rsidRPr="0039776D" w:rsidR="00C07E01" w:rsidP="00C07E01" w:rsidRDefault="00C07E01" w14:paraId="19339C4A" w14:textId="77777777">
      <w:pPr>
        <w:pStyle w:val="BoldHeading"/>
        <w:rPr>
          <w:lang w:val="en-CA" w:eastAsia="ja-JP"/>
        </w:rPr>
      </w:pPr>
      <w:r w:rsidRPr="0039776D">
        <w:rPr>
          <w:lang w:val="en-CA" w:eastAsia="ja-JP"/>
        </w:rPr>
        <w:t xml:space="preserve">Potential Impact on D.C. Background Study Update </w:t>
      </w:r>
    </w:p>
    <w:p w:rsidR="00716623" w:rsidP="00716623" w:rsidRDefault="0043560D" w14:paraId="4702B752" w14:textId="6EDE7BF8">
      <w:pPr>
        <w:pStyle w:val="BodyText125"/>
        <w:rPr>
          <w:lang w:val="en-CA" w:eastAsia="ja-JP"/>
        </w:rPr>
      </w:pPr>
      <w:r>
        <w:rPr>
          <w:lang w:val="en-CA" w:eastAsia="ja-JP"/>
        </w:rPr>
        <w:t xml:space="preserve">There are no anticipated impacts with respect to this D.C. Background Study Update, however, the </w:t>
      </w:r>
      <w:proofErr w:type="gramStart"/>
      <w:r>
        <w:rPr>
          <w:lang w:val="en-CA" w:eastAsia="ja-JP"/>
        </w:rPr>
        <w:t>City</w:t>
      </w:r>
      <w:proofErr w:type="gramEnd"/>
      <w:r>
        <w:rPr>
          <w:lang w:val="en-CA" w:eastAsia="ja-JP"/>
        </w:rPr>
        <w:t xml:space="preserve"> would be required to meet these additional reporting requirements</w:t>
      </w:r>
      <w:r w:rsidR="00C07E01">
        <w:rPr>
          <w:lang w:val="en-CA" w:eastAsia="ja-JP"/>
        </w:rPr>
        <w:t xml:space="preserve">. </w:t>
      </w:r>
    </w:p>
    <w:p w:rsidRPr="007F39EC" w:rsidR="00D311B0" w:rsidP="006F0974" w:rsidRDefault="00D311B0" w14:paraId="1AD59D81" w14:textId="58A44453">
      <w:pPr>
        <w:pStyle w:val="BodyText125"/>
        <w:rPr>
          <w:lang w:val="en-CA"/>
        </w:rPr>
        <w:sectPr w:rsidRPr="007F39EC" w:rsidR="00D311B0" w:rsidSect="00AB6286">
          <w:footnotePr>
            <w:numRestart w:val="eachPage"/>
          </w:footnotePr>
          <w:pgSz w:w="12240" w:h="20160" w:orient="portrait" w:code="5"/>
          <w:pgMar w:top="1440" w:right="1440" w:bottom="1440" w:left="1440" w:header="432" w:footer="619" w:gutter="0"/>
          <w:cols w:space="708"/>
          <w:titlePg/>
          <w:docGrid w:linePitch="360"/>
        </w:sectPr>
      </w:pPr>
      <w:r>
        <w:rPr>
          <w:lang w:val="en-CA"/>
        </w:rPr>
        <w:t>.</w:t>
      </w:r>
    </w:p>
    <w:p w:rsidRPr="0015322B" w:rsidR="003425B6" w:rsidP="002D337C" w:rsidRDefault="003425B6" w14:paraId="33954188" w14:textId="126CDBA7">
      <w:pPr>
        <w:pStyle w:val="APPdivider"/>
        <w:tabs>
          <w:tab w:val="left" w:pos="5400"/>
        </w:tabs>
        <w:rPr>
          <w:lang w:val="en-CA"/>
        </w:rPr>
        <w:sectPr w:rsidRPr="0015322B" w:rsidR="003425B6" w:rsidSect="00931F19">
          <w:footerReference w:type="default" r:id="rId104"/>
          <w:footerReference w:type="first" r:id="rId105"/>
          <w:footnotePr>
            <w:numRestart w:val="eachPage"/>
          </w:footnotePr>
          <w:pgSz w:w="12240" w:h="15840" w:orient="portrait" w:code="1"/>
          <w:pgMar w:top="1440" w:right="1440" w:bottom="1440" w:left="1440" w:header="432" w:footer="624" w:gutter="0"/>
          <w:pgNumType w:start="1"/>
          <w:cols w:space="708"/>
          <w:titlePg/>
          <w:docGrid w:linePitch="360"/>
        </w:sectPr>
      </w:pPr>
      <w:bookmarkStart w:name="_Toc213674197" w:id="64"/>
      <w:r w:rsidRPr="0015322B">
        <w:rPr>
          <w:lang w:val="en-CA"/>
        </w:rPr>
        <w:t>Appendix D</w:t>
      </w:r>
      <w:r w:rsidR="001A29AA">
        <w:rPr>
          <w:lang w:val="en-CA"/>
        </w:rPr>
        <w:t xml:space="preserve"> </w:t>
      </w:r>
      <w:r w:rsidRPr="0015322B" w:rsidR="00620725">
        <w:rPr>
          <w:lang w:val="en-CA"/>
        </w:rPr>
        <w:br/>
      </w:r>
      <w:r w:rsidR="00652FE4">
        <w:rPr>
          <w:rStyle w:val="APPDividerTitleChar"/>
          <w:lang w:val="en-CA"/>
        </w:rPr>
        <w:t>Draft Amending Development Charge By-law</w:t>
      </w:r>
      <w:bookmarkEnd w:id="64"/>
      <w:r w:rsidRPr="0015322B" w:rsidR="00E551F0">
        <w:rPr>
          <w:lang w:val="en-CA"/>
        </w:rPr>
        <w:t xml:space="preserve"> </w:t>
      </w:r>
    </w:p>
    <w:p w:rsidRPr="0015322B" w:rsidR="00104209" w:rsidP="00A043B7" w:rsidRDefault="00A043B7" w14:paraId="7FFFD5FE" w14:textId="4B3965BC">
      <w:pPr>
        <w:pStyle w:val="APP1stpage"/>
        <w:rPr>
          <w:lang w:val="en-CA"/>
        </w:rPr>
      </w:pPr>
      <w:r w:rsidRPr="0015322B">
        <w:rPr>
          <w:lang w:val="en-CA"/>
        </w:rPr>
        <w:t>Appendix D</w:t>
      </w:r>
      <w:r w:rsidRPr="0015322B" w:rsidR="003930AA">
        <w:rPr>
          <w:lang w:val="en-CA"/>
        </w:rPr>
        <w:t>:</w:t>
      </w:r>
      <w:r w:rsidRPr="0015322B">
        <w:rPr>
          <w:lang w:val="en-CA"/>
        </w:rPr>
        <w:t xml:space="preserve">  </w:t>
      </w:r>
      <w:r w:rsidR="00652FE4">
        <w:rPr>
          <w:lang w:val="en-CA"/>
        </w:rPr>
        <w:t>Draft Amending By-law</w:t>
      </w:r>
    </w:p>
    <w:p w:rsidRPr="00FF2F41" w:rsidR="00A45CC3" w:rsidP="009A57E8" w:rsidRDefault="005B11E1" w14:paraId="31435CEA" w14:textId="62F6DF88">
      <w:pPr>
        <w:pStyle w:val="BodyText125"/>
        <w:spacing w:after="0"/>
        <w:jc w:val="center"/>
        <w:rPr>
          <w:b/>
          <w:bCs/>
        </w:rPr>
      </w:pPr>
      <w:r>
        <w:rPr>
          <w:b/>
          <w:bCs/>
        </w:rPr>
        <w:t>City</w:t>
      </w:r>
      <w:r w:rsidR="00A45CC3">
        <w:rPr>
          <w:b/>
          <w:bCs/>
        </w:rPr>
        <w:t xml:space="preserve"> of </w:t>
      </w:r>
      <w:r>
        <w:rPr>
          <w:b/>
          <w:bCs/>
        </w:rPr>
        <w:t>Cambridge</w:t>
      </w:r>
    </w:p>
    <w:p w:rsidRPr="00FF2F41" w:rsidR="00A45CC3" w:rsidP="009A57E8" w:rsidRDefault="00A45CC3" w14:paraId="005051E8" w14:textId="5A7E8B63">
      <w:pPr>
        <w:pStyle w:val="BodyText125"/>
        <w:spacing w:after="0"/>
        <w:jc w:val="center"/>
        <w:rPr>
          <w:b/>
          <w:bCs/>
        </w:rPr>
      </w:pPr>
      <w:r w:rsidRPr="00FF2F41">
        <w:rPr>
          <w:b/>
          <w:bCs/>
        </w:rPr>
        <w:t>By-law Number</w:t>
      </w:r>
      <w:r>
        <w:rPr>
          <w:b/>
          <w:bCs/>
        </w:rPr>
        <w:t xml:space="preserve"> </w:t>
      </w:r>
      <w:r w:rsidRPr="005F7502" w:rsidR="003307F4">
        <w:rPr>
          <w:b/>
          <w:bCs/>
          <w:highlight w:val="yellow"/>
        </w:rPr>
        <w:t>2</w:t>
      </w:r>
      <w:r w:rsidR="003307F4">
        <w:rPr>
          <w:b/>
          <w:bCs/>
          <w:highlight w:val="yellow"/>
        </w:rPr>
        <w:t>5</w:t>
      </w:r>
      <w:r w:rsidRPr="005F7502">
        <w:rPr>
          <w:b/>
          <w:bCs/>
          <w:highlight w:val="yellow"/>
        </w:rPr>
        <w:t>-xx</w:t>
      </w:r>
    </w:p>
    <w:p w:rsidRPr="00F2293F" w:rsidR="00A45CC3" w:rsidP="00A45CC3" w:rsidRDefault="00A45CC3" w14:paraId="2462DD0B" w14:textId="3B76C54D">
      <w:pPr>
        <w:pStyle w:val="BodyText125"/>
        <w:jc w:val="center"/>
        <w:rPr>
          <w:b/>
          <w:bCs/>
        </w:rPr>
      </w:pPr>
      <w:r w:rsidRPr="00F2293F">
        <w:rPr>
          <w:b/>
          <w:bCs/>
        </w:rPr>
        <w:t xml:space="preserve">Being a By-Law </w:t>
      </w:r>
      <w:proofErr w:type="gramStart"/>
      <w:r w:rsidRPr="00F2293F">
        <w:rPr>
          <w:b/>
          <w:bCs/>
        </w:rPr>
        <w:t>To</w:t>
      </w:r>
      <w:proofErr w:type="gramEnd"/>
      <w:r w:rsidRPr="00F2293F">
        <w:rPr>
          <w:b/>
          <w:bCs/>
        </w:rPr>
        <w:t xml:space="preserve"> Amend By-Law </w:t>
      </w:r>
      <w:r w:rsidR="00DB2F95">
        <w:rPr>
          <w:b/>
          <w:bCs/>
        </w:rPr>
        <w:t>24</w:t>
      </w:r>
      <w:r>
        <w:rPr>
          <w:b/>
          <w:bCs/>
        </w:rPr>
        <w:t>-0</w:t>
      </w:r>
      <w:r w:rsidR="00DB2F95">
        <w:rPr>
          <w:b/>
          <w:bCs/>
        </w:rPr>
        <w:t>42</w:t>
      </w:r>
      <w:r w:rsidRPr="00F2293F">
        <w:rPr>
          <w:b/>
          <w:bCs/>
        </w:rPr>
        <w:t>,</w:t>
      </w:r>
      <w:r w:rsidR="005F7502">
        <w:rPr>
          <w:b/>
          <w:bCs/>
        </w:rPr>
        <w:t xml:space="preserve"> as amended,</w:t>
      </w:r>
      <w:r w:rsidRPr="00F2293F">
        <w:rPr>
          <w:b/>
          <w:bCs/>
        </w:rPr>
        <w:t xml:space="preserve"> </w:t>
      </w:r>
      <w:r w:rsidR="005F7502">
        <w:rPr>
          <w:b/>
          <w:bCs/>
        </w:rPr>
        <w:t>r</w:t>
      </w:r>
      <w:r w:rsidRPr="00F2293F">
        <w:rPr>
          <w:b/>
          <w:bCs/>
        </w:rPr>
        <w:t xml:space="preserve">especting </w:t>
      </w:r>
      <w:r w:rsidR="005B11E1">
        <w:rPr>
          <w:b/>
          <w:bCs/>
        </w:rPr>
        <w:t>City</w:t>
      </w:r>
      <w:r>
        <w:rPr>
          <w:b/>
          <w:bCs/>
        </w:rPr>
        <w:t xml:space="preserve">-wide </w:t>
      </w:r>
      <w:r w:rsidRPr="00F2293F">
        <w:rPr>
          <w:b/>
          <w:bCs/>
        </w:rPr>
        <w:t>Development Charges</w:t>
      </w:r>
    </w:p>
    <w:p w:rsidR="00A45CC3" w:rsidP="00A45CC3" w:rsidRDefault="000439A8" w14:paraId="7FC6A578" w14:textId="7507A6A0">
      <w:pPr>
        <w:pStyle w:val="BodyText125"/>
      </w:pPr>
      <w:r w:rsidRPr="000439A8">
        <w:rPr>
          <w:b/>
          <w:bCs/>
        </w:rPr>
        <w:t xml:space="preserve">WHEREAS </w:t>
      </w:r>
      <w:r w:rsidRPr="00473E5D">
        <w:t xml:space="preserve">subsection 2(1) of the Development Charges Act, 1997 (the "Act"), S.O. 1 </w:t>
      </w:r>
      <w:proofErr w:type="gramStart"/>
      <w:r w:rsidRPr="00473E5D">
        <w:t>997 ,</w:t>
      </w:r>
      <w:proofErr w:type="gramEnd"/>
      <w:r w:rsidRPr="00473E5D">
        <w:t xml:space="preserve"> </w:t>
      </w:r>
      <w:proofErr w:type="gramStart"/>
      <w:r w:rsidRPr="00473E5D">
        <w:t>c.27 ,</w:t>
      </w:r>
      <w:proofErr w:type="gramEnd"/>
      <w:r w:rsidRPr="00473E5D">
        <w:t xml:space="preserve"> as amended, provides that the council of a municipality </w:t>
      </w:r>
      <w:proofErr w:type="gramStart"/>
      <w:r w:rsidRPr="00473E5D">
        <w:t>may by</w:t>
      </w:r>
      <w:proofErr w:type="gramEnd"/>
      <w:r w:rsidRPr="00473E5D">
        <w:t xml:space="preserve"> by-law impose development charges against land to pay for increased capital costs required because of increased needs for services arising from development of the area to which the by-law </w:t>
      </w:r>
      <w:proofErr w:type="gramStart"/>
      <w:r w:rsidRPr="00473E5D">
        <w:t>applies;</w:t>
      </w:r>
      <w:proofErr w:type="gramEnd"/>
      <w:r w:rsidRPr="00473E5D">
        <w:t xml:space="preserve"> </w:t>
      </w:r>
    </w:p>
    <w:p w:rsidR="000439A8" w:rsidP="00A45CC3" w:rsidRDefault="004F0AFE" w14:paraId="63734990" w14:textId="0624BE0B">
      <w:pPr>
        <w:pStyle w:val="BodyText125"/>
      </w:pPr>
      <w:r w:rsidRPr="00473E5D">
        <w:rPr>
          <w:b/>
          <w:bCs/>
        </w:rPr>
        <w:t>WHEREAS</w:t>
      </w:r>
      <w:r w:rsidRPr="004F0AFE">
        <w:t xml:space="preserve"> Section 19 of the Act provides for amendments to be made to development charges </w:t>
      </w:r>
      <w:proofErr w:type="gramStart"/>
      <w:r w:rsidRPr="004F0AFE">
        <w:t>bylaws;</w:t>
      </w:r>
      <w:proofErr w:type="gramEnd"/>
    </w:p>
    <w:p w:rsidR="00914A02" w:rsidP="00A45CC3" w:rsidRDefault="00914A02" w14:paraId="4005F197" w14:textId="6181EA70">
      <w:pPr>
        <w:pStyle w:val="BodyText125"/>
      </w:pPr>
      <w:r>
        <w:rPr>
          <w:b/>
          <w:bCs/>
        </w:rPr>
        <w:t>WHEREAS</w:t>
      </w:r>
      <w:r>
        <w:t xml:space="preserve"> a development charges background update study has been completed in accordance with the </w:t>
      </w:r>
      <w:proofErr w:type="gramStart"/>
      <w:r>
        <w:t>Act;</w:t>
      </w:r>
      <w:proofErr w:type="gramEnd"/>
    </w:p>
    <w:p w:rsidRPr="005F7502" w:rsidR="00914A02" w:rsidP="00914A02" w:rsidRDefault="00914A02" w14:paraId="5DF4AE2C" w14:textId="77777777">
      <w:pPr>
        <w:pStyle w:val="BodyText125"/>
      </w:pPr>
      <w:r>
        <w:rPr>
          <w:b/>
          <w:bCs/>
        </w:rPr>
        <w:t xml:space="preserve">WHEREAS </w:t>
      </w:r>
      <w:r>
        <w:t>the update study and proposed amending By-law were made available to the publ</w:t>
      </w:r>
      <w:r w:rsidRPr="005F7502">
        <w:t xml:space="preserve">ic on </w:t>
      </w:r>
      <w:r>
        <w:t>11</w:t>
      </w:r>
      <w:r w:rsidRPr="00276B62">
        <w:rPr>
          <w:vertAlign w:val="superscript"/>
        </w:rPr>
        <w:t>th</w:t>
      </w:r>
      <w:r w:rsidRPr="005F7502">
        <w:t xml:space="preserve"> day of </w:t>
      </w:r>
      <w:r>
        <w:t>November</w:t>
      </w:r>
      <w:r w:rsidRPr="005F7502">
        <w:t xml:space="preserve">, </w:t>
      </w:r>
      <w:proofErr w:type="gramStart"/>
      <w:r w:rsidRPr="005F7502">
        <w:t>202</w:t>
      </w:r>
      <w:r>
        <w:t>5</w:t>
      </w:r>
      <w:r w:rsidRPr="005F7502">
        <w:t>;</w:t>
      </w:r>
      <w:proofErr w:type="gramEnd"/>
    </w:p>
    <w:p w:rsidRPr="00E846AE" w:rsidR="00914A02" w:rsidP="00914A02" w:rsidRDefault="00914A02" w14:paraId="0ECAB264" w14:textId="77777777">
      <w:pPr>
        <w:pStyle w:val="BodyText125"/>
      </w:pPr>
      <w:r>
        <w:rPr>
          <w:b/>
          <w:bCs/>
        </w:rPr>
        <w:t>WHEREAS</w:t>
      </w:r>
      <w:r w:rsidRPr="005F7502">
        <w:rPr>
          <w:b/>
          <w:bCs/>
        </w:rPr>
        <w:t xml:space="preserve"> </w:t>
      </w:r>
      <w:r w:rsidRPr="005F7502">
        <w:t xml:space="preserve">the Council of the </w:t>
      </w:r>
      <w:r>
        <w:t>City</w:t>
      </w:r>
      <w:r w:rsidRPr="005F7502">
        <w:t xml:space="preserve"> of </w:t>
      </w:r>
      <w:r>
        <w:t>Cambridge</w:t>
      </w:r>
      <w:r w:rsidRPr="005F7502">
        <w:t xml:space="preserve"> has given notice and held a public meeting on the </w:t>
      </w:r>
      <w:r>
        <w:t>25</w:t>
      </w:r>
      <w:r w:rsidRPr="005F7502">
        <w:rPr>
          <w:vertAlign w:val="superscript"/>
        </w:rPr>
        <w:t>th</w:t>
      </w:r>
      <w:r w:rsidRPr="005F7502">
        <w:t xml:space="preserve"> day of </w:t>
      </w:r>
      <w:proofErr w:type="gramStart"/>
      <w:r w:rsidRPr="005F7502">
        <w:t>November,</w:t>
      </w:r>
      <w:proofErr w:type="gramEnd"/>
      <w:r w:rsidRPr="005F7502">
        <w:t xml:space="preserve"> 202</w:t>
      </w:r>
      <w:r>
        <w:t>5</w:t>
      </w:r>
      <w:r w:rsidRPr="005F7502">
        <w:t xml:space="preserve"> in accordanc</w:t>
      </w:r>
      <w:r>
        <w:t xml:space="preserve">e with the Act and the regulations </w:t>
      </w:r>
      <w:proofErr w:type="gramStart"/>
      <w:r>
        <w:t>thereto;</w:t>
      </w:r>
      <w:proofErr w:type="gramEnd"/>
    </w:p>
    <w:p w:rsidR="006319EE" w:rsidP="00A45CC3" w:rsidRDefault="006319EE" w14:paraId="10579868" w14:textId="7F784C96">
      <w:pPr>
        <w:pStyle w:val="BodyText125"/>
      </w:pPr>
      <w:r w:rsidRPr="00473E5D">
        <w:rPr>
          <w:b/>
          <w:bCs/>
        </w:rPr>
        <w:t>WHEREAS</w:t>
      </w:r>
      <w:r w:rsidRPr="006319EE">
        <w:t xml:space="preserve"> the Council of the Corporation of the City of Cambridge (the "Council") enacted and passed By-law 24-042 on April 30,2024</w:t>
      </w:r>
      <w:r>
        <w:t xml:space="preserve"> and </w:t>
      </w:r>
      <w:proofErr w:type="gramStart"/>
      <w:r>
        <w:t>amending</w:t>
      </w:r>
      <w:proofErr w:type="gramEnd"/>
      <w:r>
        <w:t xml:space="preserve"> By-law 2</w:t>
      </w:r>
      <w:r w:rsidR="003307F4">
        <w:t xml:space="preserve">4-101 on October 22, </w:t>
      </w:r>
      <w:proofErr w:type="gramStart"/>
      <w:r w:rsidR="003307F4">
        <w:t>2024</w:t>
      </w:r>
      <w:r w:rsidRPr="006319EE">
        <w:t>;</w:t>
      </w:r>
      <w:proofErr w:type="gramEnd"/>
      <w:r w:rsidRPr="006319EE">
        <w:t xml:space="preserve"> </w:t>
      </w:r>
    </w:p>
    <w:p w:rsidR="00A45CC3" w:rsidP="00A45CC3" w:rsidRDefault="00A45CC3" w14:paraId="32BB1573" w14:textId="301D8ACB">
      <w:pPr>
        <w:pStyle w:val="BodyText125"/>
      </w:pPr>
      <w:r w:rsidRPr="005C5E8D">
        <w:rPr>
          <w:b/>
          <w:bCs/>
        </w:rPr>
        <w:t>Now therefore</w:t>
      </w:r>
      <w:r>
        <w:t xml:space="preserve"> the Council of the Corporation of the </w:t>
      </w:r>
      <w:r w:rsidR="005B11E1">
        <w:t>City</w:t>
      </w:r>
      <w:r>
        <w:t xml:space="preserve"> of </w:t>
      </w:r>
      <w:r w:rsidR="005B11E1">
        <w:t>Cambridge</w:t>
      </w:r>
      <w:r>
        <w:t xml:space="preserve"> hereby enacts as follows:</w:t>
      </w:r>
    </w:p>
    <w:p w:rsidRPr="00FF2F41" w:rsidR="00A45CC3" w:rsidP="00A45CC3" w:rsidRDefault="00A45CC3" w14:paraId="4E32AEF9" w14:textId="0725380A">
      <w:pPr>
        <w:pStyle w:val="BodyText125"/>
      </w:pPr>
      <w:r w:rsidRPr="00FF2F41">
        <w:t>1.</w:t>
      </w:r>
      <w:r w:rsidRPr="00FF2F41">
        <w:tab/>
      </w:r>
      <w:r w:rsidRPr="00FF2F41">
        <w:t xml:space="preserve">By-law </w:t>
      </w:r>
      <w:r w:rsidR="00276B62">
        <w:t>24-042</w:t>
      </w:r>
      <w:r w:rsidR="00CC0E7B">
        <w:t>, as amended</w:t>
      </w:r>
      <w:r w:rsidR="00D65F05">
        <w:t>,</w:t>
      </w:r>
      <w:r>
        <w:t xml:space="preserve"> </w:t>
      </w:r>
      <w:r w:rsidRPr="00FF2F41">
        <w:t>is hereby amended as follows:</w:t>
      </w:r>
    </w:p>
    <w:p w:rsidR="00442A2F" w:rsidP="00A45CC3" w:rsidRDefault="00C37C7D" w14:paraId="2E79D7B4" w14:textId="2F642CBF">
      <w:pPr>
        <w:pStyle w:val="BodyText125"/>
        <w:numPr>
          <w:ilvl w:val="0"/>
          <w:numId w:val="20"/>
        </w:numPr>
      </w:pPr>
      <w:r>
        <w:t>A</w:t>
      </w:r>
      <w:r w:rsidR="00E27D37">
        <w:t>dd</w:t>
      </w:r>
      <w:r w:rsidR="00FB6B3D">
        <w:t xml:space="preserve">ition of </w:t>
      </w:r>
      <w:r>
        <w:t xml:space="preserve">long-term </w:t>
      </w:r>
      <w:r w:rsidR="00410AF7">
        <w:t>care home</w:t>
      </w:r>
      <w:r w:rsidR="00AC48D0">
        <w:t xml:space="preserve"> definition in Section 1 as follows</w:t>
      </w:r>
      <w:r w:rsidR="00410AF7">
        <w:t>:</w:t>
      </w:r>
    </w:p>
    <w:p w:rsidR="00410AF7" w:rsidP="00410AF7" w:rsidRDefault="003F7F33" w14:paraId="5B3D9BBF" w14:textId="14B9A2DB">
      <w:pPr>
        <w:pStyle w:val="BodyText125"/>
        <w:ind w:left="720"/>
      </w:pPr>
      <w:r>
        <w:t>1.40</w:t>
      </w:r>
      <w:r w:rsidR="00A9244C">
        <w:t xml:space="preserve"> “long-term care home” means development as defined in subsection 2(1) of the Fixing Long Term Care Home Act. </w:t>
      </w:r>
    </w:p>
    <w:p w:rsidR="00930E9A" w:rsidP="00930E9A" w:rsidRDefault="007E0D60" w14:paraId="3E1CAD1F" w14:textId="76ED37B4">
      <w:pPr>
        <w:pStyle w:val="BodyText125"/>
        <w:numPr>
          <w:ilvl w:val="0"/>
          <w:numId w:val="20"/>
        </w:numPr>
      </w:pPr>
      <w:r>
        <w:t>A</w:t>
      </w:r>
      <w:r w:rsidR="00E27D37">
        <w:t>dd</w:t>
      </w:r>
      <w:r w:rsidR="009F69B4">
        <w:t xml:space="preserve">ition of </w:t>
      </w:r>
      <w:r w:rsidR="007620F0">
        <w:t xml:space="preserve">clause 3.16 </w:t>
      </w:r>
      <w:r w:rsidR="00AF48FD">
        <w:t xml:space="preserve">to provide exemption for long-term care homes </w:t>
      </w:r>
      <w:r w:rsidR="007620F0">
        <w:t>as follows:</w:t>
      </w:r>
    </w:p>
    <w:p w:rsidR="007620F0" w:rsidP="007620F0" w:rsidRDefault="00E34B65" w14:paraId="59F9CBD7" w14:textId="6C06DD6C">
      <w:pPr>
        <w:pStyle w:val="BodyText125"/>
        <w:ind w:left="720"/>
      </w:pPr>
      <w:r>
        <w:t>3.16</w:t>
      </w:r>
      <w:r>
        <w:tab/>
      </w:r>
      <w:r>
        <w:t>Not applicable by Statute – Long-Term Care Homes</w:t>
      </w:r>
    </w:p>
    <w:p w:rsidR="00E34B65" w:rsidP="00473E5D" w:rsidRDefault="00E34B65" w14:paraId="0D898BB0" w14:textId="5E78ABDE">
      <w:pPr>
        <w:pStyle w:val="BodyText125"/>
        <w:ind w:left="720"/>
      </w:pPr>
      <w:r>
        <w:tab/>
      </w:r>
      <w:r>
        <w:tab/>
      </w:r>
      <w:r>
        <w:t xml:space="preserve">Long-Term Care Homes are exempt from development charges. </w:t>
      </w:r>
    </w:p>
    <w:p w:rsidR="00534B47" w:rsidP="00A45CC3" w:rsidRDefault="00CC76D7" w14:paraId="046AE8CE" w14:textId="77777777">
      <w:pPr>
        <w:pStyle w:val="BodyText125"/>
        <w:numPr>
          <w:ilvl w:val="0"/>
          <w:numId w:val="20"/>
        </w:numPr>
      </w:pPr>
      <w:r>
        <w:t>Remove “including interest” from Clause 12.2</w:t>
      </w:r>
      <w:r w:rsidR="00534B47">
        <w:t xml:space="preserve"> to reflect the following:</w:t>
      </w:r>
    </w:p>
    <w:p w:rsidR="009F69B4" w:rsidP="00473E5D" w:rsidRDefault="00534B47" w14:paraId="603A2D04" w14:textId="7A9974DC">
      <w:pPr>
        <w:pStyle w:val="BodyText125"/>
        <w:ind w:left="720"/>
      </w:pPr>
      <w:r>
        <w:t>“</w:t>
      </w:r>
      <w:r w:rsidRPr="00FD5BB3" w:rsidR="00FD5BB3">
        <w:t>Notwithstanding subsection 12.1, development charges for rental housing and institutional developments are due and payable in six equal annual payments commencing with the first installment payable on the date of occupancy, and each subsequent installment</w:t>
      </w:r>
      <w:r w:rsidR="00FD5BB3">
        <w:t>.”</w:t>
      </w:r>
      <w:r w:rsidR="00CC76D7">
        <w:t xml:space="preserve"> </w:t>
      </w:r>
    </w:p>
    <w:p w:rsidR="002E37FC" w:rsidP="00A45CC3" w:rsidRDefault="002E37FC" w14:paraId="513BFC57" w14:textId="263C7774">
      <w:pPr>
        <w:pStyle w:val="BodyText125"/>
        <w:numPr>
          <w:ilvl w:val="0"/>
          <w:numId w:val="20"/>
        </w:numPr>
      </w:pPr>
      <w:r>
        <w:t>Replace Section 12.3 with the following</w:t>
      </w:r>
      <w:r w:rsidR="00AD6DCD">
        <w:t>:</w:t>
      </w:r>
    </w:p>
    <w:p w:rsidR="003304DB" w:rsidP="003304DB" w:rsidRDefault="003304DB" w14:paraId="37866D90" w14:textId="6C15DD3F">
      <w:pPr>
        <w:pStyle w:val="BodyText125"/>
        <w:ind w:left="720"/>
      </w:pPr>
      <w:r>
        <w:t>12.3.</w:t>
      </w:r>
      <w:r>
        <w:tab/>
      </w:r>
      <w:r>
        <w:t>Site Plan and Zoning Amendment Application (s. 26.2 of the Act)</w:t>
      </w:r>
    </w:p>
    <w:p w:rsidR="003304DB" w:rsidP="00473E5D" w:rsidRDefault="003304DB" w14:paraId="3B260F2B" w14:textId="5DE0AEFB">
      <w:pPr>
        <w:pStyle w:val="BodyText125"/>
        <w:ind w:left="2520" w:hanging="1080"/>
      </w:pPr>
      <w:r>
        <w:t>12.3.1.</w:t>
      </w:r>
      <w:r>
        <w:tab/>
      </w:r>
      <w:r>
        <w:t>Where the development of land results from the approval of a site plan or zoning by-law amendment application received on or after January 1, 2020, and building permit issuance occurs after the approval of the application and within the timeframe set out in section 26.2(5) of the Act, the development charges under subsections 5.1 and 5.2 shall be calculated based on the lower of:</w:t>
      </w:r>
    </w:p>
    <w:p w:rsidR="003304DB" w:rsidP="00473E5D" w:rsidRDefault="003304DB" w14:paraId="3E20C701" w14:textId="1F6AA883">
      <w:pPr>
        <w:pStyle w:val="BodyText125"/>
        <w:ind w:left="3240" w:hanging="1080"/>
      </w:pPr>
      <w:r>
        <w:t>12.3.1.1.</w:t>
      </w:r>
      <w:r>
        <w:tab/>
      </w:r>
      <w:r>
        <w:t xml:space="preserve">on the rates set out in Schedule “A” on the date of the planning application, including interest. Where both planning applications apply, development charges under subsections 5.1 and 5.2 shall be calculated on the rates in effect on the day of the later planning application, including interest. </w:t>
      </w:r>
    </w:p>
    <w:p w:rsidR="00AD6DCD" w:rsidP="00473E5D" w:rsidRDefault="003304DB" w14:paraId="611DFD49" w14:textId="0A7F37CD">
      <w:pPr>
        <w:pStyle w:val="BodyText125"/>
        <w:ind w:left="3240" w:hanging="1080"/>
      </w:pPr>
      <w:r>
        <w:t>12.3.1.2.</w:t>
      </w:r>
      <w:r>
        <w:tab/>
      </w:r>
      <w:r>
        <w:t>The rates set out in Schedule “A” on the day the development charge is payable.</w:t>
      </w:r>
    </w:p>
    <w:p w:rsidR="00616C86" w:rsidP="00A45CC3" w:rsidRDefault="00616C86" w14:paraId="506F4817" w14:textId="42A09CD5">
      <w:pPr>
        <w:pStyle w:val="BodyText125"/>
        <w:numPr>
          <w:ilvl w:val="0"/>
          <w:numId w:val="20"/>
        </w:numPr>
      </w:pPr>
      <w:r>
        <w:t xml:space="preserve">Add Section 12.5 as follows: </w:t>
      </w:r>
    </w:p>
    <w:p w:rsidR="0083299A" w:rsidP="0083299A" w:rsidRDefault="0083299A" w14:paraId="63B6349E" w14:textId="77777777">
      <w:pPr>
        <w:pStyle w:val="BodyText125"/>
        <w:ind w:left="720"/>
      </w:pPr>
      <w:r>
        <w:t>12.5.</w:t>
      </w:r>
      <w:r>
        <w:tab/>
      </w:r>
      <w:r>
        <w:t>Residential Development Charges Payable at Occupancy</w:t>
      </w:r>
    </w:p>
    <w:p w:rsidR="0083299A" w:rsidP="00473E5D" w:rsidRDefault="0083299A" w14:paraId="600D7A4C" w14:textId="77777777">
      <w:pPr>
        <w:pStyle w:val="BodyText125"/>
        <w:ind w:left="2520" w:hanging="1080"/>
      </w:pPr>
      <w:r>
        <w:t>12.5.1.</w:t>
      </w:r>
      <w:r>
        <w:tab/>
      </w:r>
      <w:r>
        <w:t xml:space="preserve">In accordance with Section 26.1 of the Act, a development charge in respect of residential development, other than rental housing or institutional development, shall be paid in full on the </w:t>
      </w:r>
      <w:proofErr w:type="gramStart"/>
      <w:r>
        <w:t>earlier</w:t>
      </w:r>
      <w:proofErr w:type="gramEnd"/>
      <w:r>
        <w:t xml:space="preserve"> of:</w:t>
      </w:r>
    </w:p>
    <w:p w:rsidR="0083299A" w:rsidP="00473E5D" w:rsidRDefault="0083299A" w14:paraId="00199AD7" w14:textId="77777777">
      <w:pPr>
        <w:pStyle w:val="BodyText125"/>
        <w:ind w:left="3240" w:hanging="1080"/>
      </w:pPr>
      <w:r>
        <w:t>12.5.1.1.</w:t>
      </w:r>
      <w:r>
        <w:tab/>
      </w:r>
      <w:r>
        <w:t>The day a permit is issued under the Building Code Act, 1992 authorizing occupation of the building; and</w:t>
      </w:r>
    </w:p>
    <w:p w:rsidR="0083299A" w:rsidP="00473E5D" w:rsidRDefault="0083299A" w14:paraId="7155ECCA" w14:textId="77777777">
      <w:pPr>
        <w:pStyle w:val="BodyText125"/>
        <w:ind w:left="3240" w:hanging="1080"/>
      </w:pPr>
      <w:r>
        <w:t>12.5.1.2.</w:t>
      </w:r>
      <w:r>
        <w:tab/>
      </w:r>
      <w:r>
        <w:t xml:space="preserve">The day the building is first occupied. </w:t>
      </w:r>
    </w:p>
    <w:p w:rsidR="0083299A" w:rsidP="00473E5D" w:rsidRDefault="0083299A" w14:paraId="0869F48D" w14:textId="77777777">
      <w:pPr>
        <w:pStyle w:val="BodyText125"/>
        <w:ind w:left="2520" w:hanging="1080"/>
      </w:pPr>
      <w:r>
        <w:t>12.5.2.</w:t>
      </w:r>
      <w:r>
        <w:tab/>
      </w:r>
      <w:r>
        <w:t xml:space="preserve">The </w:t>
      </w:r>
      <w:proofErr w:type="gramStart"/>
      <w:r>
        <w:t>City</w:t>
      </w:r>
      <w:proofErr w:type="gramEnd"/>
      <w:r>
        <w:t xml:space="preserve"> may require the person required to pay the development charge to provide an instrument to be used to secure the payment of the development charge, subject to any prescribed limitations. </w:t>
      </w:r>
    </w:p>
    <w:p w:rsidR="00616C86" w:rsidP="00473E5D" w:rsidRDefault="0083299A" w14:paraId="72CEBB3B" w14:textId="4CBD2EB2">
      <w:pPr>
        <w:pStyle w:val="BodyText125"/>
        <w:ind w:left="2520" w:hanging="1080"/>
      </w:pPr>
      <w:r>
        <w:t>12.5.3.</w:t>
      </w:r>
      <w:r>
        <w:tab/>
      </w:r>
      <w:r>
        <w:t>Notwithstanding Section 12.5.1, should the person required to pay the</w:t>
      </w:r>
      <w:r w:rsidR="001418CB">
        <w:t xml:space="preserve"> </w:t>
      </w:r>
      <w:r>
        <w:t xml:space="preserve">development charge waive the requirement to pay the </w:t>
      </w:r>
      <w:r w:rsidR="001418CB">
        <w:t>d</w:t>
      </w:r>
      <w:r>
        <w:t xml:space="preserve">evelopment charge as per section 12.5.1, the </w:t>
      </w:r>
      <w:r w:rsidR="001418CB">
        <w:t>development charge</w:t>
      </w:r>
      <w:r>
        <w:t xml:space="preserve"> may be paid in accordance with Section 12.1 of this by-law, without entering into an agreement made under Section 27 of the D.C.A.  </w:t>
      </w:r>
    </w:p>
    <w:p w:rsidR="00A45CC3" w:rsidP="00A45CC3" w:rsidRDefault="00A45CC3" w14:paraId="56A429CF" w14:textId="26FCEF26">
      <w:pPr>
        <w:pStyle w:val="BodyText125"/>
        <w:numPr>
          <w:ilvl w:val="0"/>
          <w:numId w:val="20"/>
        </w:numPr>
      </w:pPr>
      <w:r>
        <w:t>Replace</w:t>
      </w:r>
      <w:r w:rsidRPr="00723EED">
        <w:t xml:space="preserve"> Schedule “</w:t>
      </w:r>
      <w:r w:rsidR="00276B62">
        <w:t>A</w:t>
      </w:r>
      <w:r w:rsidRPr="00723EED">
        <w:t xml:space="preserve">” to By-law No. </w:t>
      </w:r>
      <w:r w:rsidR="00276B62">
        <w:t>24-042</w:t>
      </w:r>
      <w:r w:rsidR="00CC0E7B">
        <w:t>, as amended</w:t>
      </w:r>
      <w:r w:rsidRPr="00723EED">
        <w:t xml:space="preserve"> with Schedule “</w:t>
      </w:r>
      <w:r w:rsidR="00276B62">
        <w:t>A</w:t>
      </w:r>
      <w:r w:rsidRPr="00723EED">
        <w:t xml:space="preserve">” to this amending by-law </w:t>
      </w:r>
      <w:r w:rsidRPr="00276B62">
        <w:rPr>
          <w:highlight w:val="yellow"/>
        </w:rPr>
        <w:t>202</w:t>
      </w:r>
      <w:r w:rsidRPr="00276B62" w:rsidR="00276B62">
        <w:rPr>
          <w:highlight w:val="yellow"/>
        </w:rPr>
        <w:t>5</w:t>
      </w:r>
      <w:r w:rsidRPr="00276B62">
        <w:rPr>
          <w:highlight w:val="yellow"/>
        </w:rPr>
        <w:t>-</w:t>
      </w:r>
      <w:proofErr w:type="gramStart"/>
      <w:r w:rsidRPr="00276B62">
        <w:rPr>
          <w:highlight w:val="yellow"/>
        </w:rPr>
        <w:t>xx;</w:t>
      </w:r>
      <w:proofErr w:type="gramEnd"/>
    </w:p>
    <w:p w:rsidR="00A45CC3" w:rsidP="00A45CC3" w:rsidRDefault="00A45CC3" w14:paraId="47F31A77" w14:textId="16A39328">
      <w:pPr>
        <w:pStyle w:val="BodyText125"/>
        <w:numPr>
          <w:ilvl w:val="0"/>
          <w:numId w:val="20"/>
        </w:numPr>
      </w:pPr>
      <w:r>
        <w:t xml:space="preserve">Except as amended by this by-law, all provisions of By-law </w:t>
      </w:r>
      <w:r w:rsidR="00276B62">
        <w:t>24-042</w:t>
      </w:r>
      <w:r>
        <w:t xml:space="preserve">, as </w:t>
      </w:r>
      <w:proofErr w:type="gramStart"/>
      <w:r>
        <w:t>amended</w:t>
      </w:r>
      <w:proofErr w:type="gramEnd"/>
      <w:r>
        <w:t xml:space="preserve"> are and shall remain in full force and effect. </w:t>
      </w:r>
    </w:p>
    <w:p w:rsidRPr="0067065D" w:rsidR="00A45CC3" w:rsidP="00A45CC3" w:rsidRDefault="00A45CC3" w14:paraId="544B2E08" w14:textId="6EA0AEBD">
      <w:pPr>
        <w:pStyle w:val="BodyText125"/>
      </w:pPr>
      <w:r w:rsidRPr="0067065D">
        <w:t xml:space="preserve">By-law read a first and second time this </w:t>
      </w:r>
      <w:r>
        <w:t>XX</w:t>
      </w:r>
      <w:r w:rsidRPr="0067065D">
        <w:t xml:space="preserve"> day of </w:t>
      </w:r>
      <w:r>
        <w:t>XX</w:t>
      </w:r>
      <w:r w:rsidRPr="0067065D">
        <w:t>, 202</w:t>
      </w:r>
      <w:r w:rsidR="00276B62">
        <w:t>5</w:t>
      </w:r>
      <w:r w:rsidRPr="0067065D">
        <w:t>.</w:t>
      </w:r>
    </w:p>
    <w:p w:rsidRPr="0067065D" w:rsidR="00A45CC3" w:rsidP="00473E5D" w:rsidRDefault="00A45CC3" w14:paraId="6331CAD6" w14:textId="6AAD9003">
      <w:pPr>
        <w:pStyle w:val="BodyText125"/>
        <w:spacing w:after="480"/>
      </w:pPr>
      <w:r w:rsidRPr="0067065D">
        <w:t xml:space="preserve">By-law read a third time and finally passed this </w:t>
      </w:r>
      <w:r>
        <w:t xml:space="preserve">XX </w:t>
      </w:r>
      <w:r w:rsidRPr="0067065D">
        <w:t xml:space="preserve">day of </w:t>
      </w:r>
      <w:r>
        <w:t>XX</w:t>
      </w:r>
      <w:r w:rsidRPr="0067065D">
        <w:t>, 202</w:t>
      </w:r>
      <w:r w:rsidR="00276B62">
        <w:t>5</w:t>
      </w:r>
      <w:r w:rsidRPr="0067065D">
        <w:t>.</w:t>
      </w:r>
    </w:p>
    <w:p w:rsidR="001365C8" w:rsidP="00473E5D" w:rsidRDefault="00A45CC3" w14:paraId="0D311EA8" w14:textId="2C9CD2BF">
      <w:pPr>
        <w:pStyle w:val="BodyText125"/>
        <w:spacing w:after="480"/>
        <w:ind w:left="720"/>
      </w:pPr>
      <w:r w:rsidRPr="0067065D">
        <w:t>Mayor: ___________________________</w:t>
      </w:r>
      <w:r w:rsidRPr="0067065D">
        <w:br/>
      </w:r>
    </w:p>
    <w:p w:rsidR="00A45CC3" w:rsidP="00473E5D" w:rsidRDefault="00A45CC3" w14:paraId="01EA173C" w14:textId="5486C8BA">
      <w:pPr>
        <w:pStyle w:val="BodyText125"/>
        <w:spacing w:after="480"/>
        <w:ind w:left="720"/>
        <w:rPr>
          <w:lang w:val="en-CA"/>
        </w:rPr>
      </w:pPr>
      <w:r w:rsidRPr="0067065D">
        <w:br/>
      </w:r>
      <w:r w:rsidRPr="0067065D">
        <w:t>Clerk: ____________________________</w:t>
      </w:r>
      <w:r>
        <w:rPr>
          <w:lang w:val="en-CA"/>
        </w:rPr>
        <w:br w:type="page"/>
      </w:r>
    </w:p>
    <w:p w:rsidR="009A57E8" w:rsidP="009A57E8" w:rsidRDefault="009A57E8" w14:paraId="305B38F7" w14:textId="77777777">
      <w:pPr>
        <w:pStyle w:val="FigureTableTitles"/>
        <w:sectPr w:rsidR="009A57E8" w:rsidSect="00931F19">
          <w:footnotePr>
            <w:numRestart w:val="eachPage"/>
          </w:footnotePr>
          <w:pgSz w:w="12240" w:h="15840" w:orient="portrait" w:code="1"/>
          <w:pgMar w:top="1440" w:right="1440" w:bottom="1440" w:left="1440" w:header="432" w:footer="624" w:gutter="0"/>
          <w:cols w:space="708"/>
          <w:titlePg/>
          <w:docGrid w:linePitch="360"/>
        </w:sectPr>
      </w:pPr>
    </w:p>
    <w:p w:rsidR="009A57E8" w:rsidP="009A57E8" w:rsidRDefault="009A57E8" w14:paraId="5993A9F1" w14:textId="26D4A210">
      <w:pPr>
        <w:pStyle w:val="FigureTableTitles"/>
      </w:pPr>
      <w:r>
        <w:t xml:space="preserve">Schedule “B” to By-law </w:t>
      </w:r>
      <w:r w:rsidR="00276B62">
        <w:t>25-xx</w:t>
      </w:r>
    </w:p>
    <w:p w:rsidR="009A57E8" w:rsidP="009A57E8" w:rsidRDefault="009A57E8" w14:paraId="10EB5CFE" w14:textId="77777777">
      <w:pPr>
        <w:pStyle w:val="FigureTableTitles"/>
      </w:pPr>
      <w:proofErr w:type="gramStart"/>
      <w:r>
        <w:t>Schedule of Residential and Non-Residential Development Charges</w:t>
      </w:r>
      <w:proofErr w:type="gramEnd"/>
    </w:p>
    <w:p w:rsidRPr="005C56FC" w:rsidR="009A57E8" w:rsidP="009A57E8" w:rsidRDefault="00872A47" w14:paraId="2B0AE05B" w14:textId="3CAB88FF">
      <w:pPr>
        <w:pStyle w:val="BodyText125"/>
      </w:pPr>
      <w:r w:rsidRPr="00872A47">
        <w:rPr>
          <w:noProof/>
        </w:rPr>
        <w:drawing>
          <wp:inline distT="0" distB="0" distL="0" distR="0" wp14:anchorId="775757A5" wp14:editId="7209C80B">
            <wp:extent cx="8229600" cy="716280"/>
            <wp:effectExtent l="0" t="0" r="0" b="7620"/>
            <wp:docPr id="539335576" name="Picture 20" descr="Schedule of Residential and Non-Residential Development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35576" name="Picture 20" descr="Schedule of Residential and Non-Residential Development Charge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29600" cy="716280"/>
                    </a:xfrm>
                    <a:prstGeom prst="rect">
                      <a:avLst/>
                    </a:prstGeom>
                    <a:noFill/>
                    <a:ln>
                      <a:noFill/>
                    </a:ln>
                  </pic:spPr>
                </pic:pic>
              </a:graphicData>
            </a:graphic>
          </wp:inline>
        </w:drawing>
      </w:r>
    </w:p>
    <w:p w:rsidRPr="0015322B" w:rsidR="000A0CE8" w:rsidP="009A57E8" w:rsidRDefault="000A0CE8" w14:paraId="65482763" w14:textId="03E6B625">
      <w:pPr>
        <w:pStyle w:val="BodyText125"/>
        <w:rPr>
          <w:lang w:val="en-CA"/>
        </w:rPr>
      </w:pPr>
    </w:p>
    <w:sectPr w:rsidRPr="0015322B" w:rsidR="000A0CE8" w:rsidSect="009A57E8">
      <w:footerReference w:type="default" r:id="rId107"/>
      <w:footerReference w:type="first" r:id="rId108"/>
      <w:footnotePr>
        <w:numRestart w:val="eachPage"/>
      </w:footnotePr>
      <w:pgSz w:w="15840" w:h="12240" w:orient="landscape" w:code="1"/>
      <w:pgMar w:top="1440" w:right="1440" w:bottom="1440" w:left="1440" w:header="432"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2731" w:rsidP="00427ADB" w:rsidRDefault="000C2731" w14:paraId="31F7B953" w14:textId="77777777">
      <w:r>
        <w:separator/>
      </w:r>
    </w:p>
  </w:endnote>
  <w:endnote w:type="continuationSeparator" w:id="0">
    <w:p w:rsidR="000C2731" w:rsidP="00427ADB" w:rsidRDefault="000C2731" w14:paraId="58B57A4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60000287" w:usb1="00000001" w:usb2="00000000" w:usb3="00000000" w:csb0="0000019F" w:csb1="00000000"/>
  </w:font>
  <w:font w:name="Lucida Grande">
    <w:altName w:val="Segoe UI"/>
    <w:charset w:val="00"/>
    <w:family w:val="auto"/>
    <w:pitch w:val="variable"/>
    <w:sig w:usb0="E1000AEF" w:usb1="5000A1FF" w:usb2="00000000" w:usb3="00000000" w:csb0="000001BF" w:csb1="00000000"/>
  </w:font>
  <w:font w:name="Gotham Book">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240FBF" w:rsidR="002B5311" w:rsidP="008428AC" w:rsidRDefault="002B5311" w14:paraId="45A7CBE1" w14:textId="77777777">
    <w:pPr>
      <w:pStyle w:val="Footer"/>
      <w:rPr>
        <w:sz w:val="12"/>
        <w:szCs w:val="12"/>
      </w:rPr>
    </w:pPr>
    <w:r w:rsidRPr="00F634A8">
      <w:rPr>
        <w:rFonts w:ascii="Gotham Book" w:hAnsi="Gotham Book"/>
        <w:noProof/>
        <w:color w:val="FFFFFF" w:themeColor="background1"/>
      </w:rPr>
      <mc:AlternateContent>
        <mc:Choice Requires="wps">
          <w:drawing>
            <wp:inline distT="0" distB="0" distL="0" distR="0" wp14:anchorId="08CCF792" wp14:editId="3A425B81">
              <wp:extent cx="7818755" cy="1387475"/>
              <wp:effectExtent l="0" t="0" r="10795" b="22225"/>
              <wp:docPr id="481" name="Rectangle 481" descr="This is a shape used for background colour" title="Background"/>
              <wp:cNvGraphicFramePr/>
              <a:graphic xmlns:a="http://schemas.openxmlformats.org/drawingml/2006/main">
                <a:graphicData uri="http://schemas.microsoft.com/office/word/2010/wordprocessingShape">
                  <wps:wsp>
                    <wps:cNvSpPr/>
                    <wps:spPr>
                      <a:xfrm>
                        <a:off x="0" y="0"/>
                        <a:ext cx="7818755" cy="1387475"/>
                      </a:xfrm>
                      <a:prstGeom prst="rect">
                        <a:avLst/>
                      </a:prstGeom>
                      <a:solidFill>
                        <a:schemeClr val="bg2">
                          <a:lumMod val="20000"/>
                          <a:lumOff val="80000"/>
                        </a:schemeClr>
                      </a:solidFill>
                      <a:ln>
                        <a:solidFill>
                          <a:schemeClr val="bg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974D1" w:rsidR="002B5311" w:rsidP="00B1229F" w:rsidRDefault="002B5311" w14:paraId="56B7C236" w14:textId="77777777">
                          <w:pPr>
                            <w:ind w:right="1348" w:firstLine="1134"/>
                            <w:jc w:val="right"/>
                            <w:rPr>
                              <w:color w:val="425364" w:themeColor="text1"/>
                            </w:rPr>
                          </w:pPr>
                          <w:r w:rsidRPr="00E974D1">
                            <w:rPr>
                              <w:color w:val="425364" w:themeColor="text1"/>
                            </w:rPr>
                            <w:t>Watson &amp; Associates Economists Ltd.</w:t>
                          </w:r>
                        </w:p>
                        <w:p w:rsidRPr="00E974D1" w:rsidR="002B5311" w:rsidP="00B1229F" w:rsidRDefault="002B5311" w14:paraId="62A274AC" w14:textId="77777777">
                          <w:pPr>
                            <w:ind w:right="1348" w:firstLine="1134"/>
                            <w:jc w:val="right"/>
                            <w:rPr>
                              <w:color w:val="425364" w:themeColor="text1"/>
                            </w:rPr>
                          </w:pPr>
                          <w:r w:rsidRPr="00E974D1">
                            <w:rPr>
                              <w:color w:val="425364" w:themeColor="text1"/>
                            </w:rPr>
                            <w:t>905-272-3600</w:t>
                          </w:r>
                        </w:p>
                        <w:p w:rsidRPr="00E974D1" w:rsidR="002B5311" w:rsidP="006F0D2B" w:rsidRDefault="005D461E" w14:paraId="0D62C946" w14:textId="7740DBCC">
                          <w:pPr>
                            <w:spacing w:after="240"/>
                            <w:ind w:right="1354" w:firstLine="1138"/>
                            <w:rPr>
                              <w:color w:val="425364" w:themeColor="text1"/>
                            </w:rPr>
                          </w:pPr>
                          <w:r>
                            <w:rPr>
                              <w:b/>
                              <w:color w:val="425364" w:themeColor="text1"/>
                            </w:rPr>
                            <w:t>November 11</w:t>
                          </w:r>
                          <w:r w:rsidR="00652FE4">
                            <w:rPr>
                              <w:b/>
                              <w:color w:val="425364" w:themeColor="text1"/>
                            </w:rPr>
                            <w:t>, 202</w:t>
                          </w:r>
                          <w:r>
                            <w:rPr>
                              <w:b/>
                              <w:color w:val="425364" w:themeColor="text1"/>
                            </w:rPr>
                            <w:t>5</w:t>
                          </w:r>
                          <w:r w:rsidRPr="00E974D1" w:rsidR="002B5311">
                            <w:rPr>
                              <w:color w:val="425364" w:themeColor="text1"/>
                            </w:rPr>
                            <w:ptab w:alignment="right" w:relativeTo="margin" w:leader="none"/>
                          </w:r>
                          <w:r w:rsidRPr="00E974D1" w:rsidR="002B5311">
                            <w:rPr>
                              <w:color w:val="425364" w:themeColor="text1"/>
                            </w:rPr>
                            <w:t>info@watsonecon.ca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6EB000C">
            <v:rect id="Rectangle 481" style="width:615.65pt;height:109.25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This is a shape used for background colour" o:spid="_x0000_s1029" fillcolor="#e2e2e2 [670]" strokecolor="#e2e2e2 [670]" strokeweight="2pt" w14:anchorId="08CCF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">
              <v:textbox>
                <w:txbxContent>
                  <w:p w:rsidRPr="00E974D1" w:rsidR="002B5311" w:rsidP="00B1229F" w:rsidRDefault="002B5311" w14:paraId="3F76234B" w14:textId="77777777">
                    <w:pPr>
                      <w:ind w:right="1348" w:firstLine="1134"/>
                      <w:jc w:val="right"/>
                      <w:rPr>
                        <w:color w:val="425364" w:themeColor="text1"/>
                      </w:rPr>
                    </w:pPr>
                    <w:r w:rsidRPr="00E974D1">
                      <w:rPr>
                        <w:color w:val="425364" w:themeColor="text1"/>
                      </w:rPr>
                      <w:t>Watson &amp; Associates Economists Ltd.</w:t>
                    </w:r>
                  </w:p>
                  <w:p w:rsidRPr="00E974D1" w:rsidR="002B5311" w:rsidP="00B1229F" w:rsidRDefault="002B5311" w14:paraId="77197BF0" w14:textId="77777777">
                    <w:pPr>
                      <w:ind w:right="1348" w:firstLine="1134"/>
                      <w:jc w:val="right"/>
                      <w:rPr>
                        <w:color w:val="425364" w:themeColor="text1"/>
                      </w:rPr>
                    </w:pPr>
                    <w:r w:rsidRPr="00E974D1">
                      <w:rPr>
                        <w:color w:val="425364" w:themeColor="text1"/>
                      </w:rPr>
                      <w:t>905-272-3600</w:t>
                    </w:r>
                  </w:p>
                  <w:p w:rsidRPr="00E974D1" w:rsidR="002B5311" w:rsidP="006F0D2B" w:rsidRDefault="005D461E" w14:paraId="02827D06" w14:textId="7740DBCC">
                    <w:pPr>
                      <w:spacing w:after="240"/>
                      <w:ind w:right="1354" w:firstLine="1138"/>
                      <w:rPr>
                        <w:color w:val="425364" w:themeColor="text1"/>
                      </w:rPr>
                    </w:pPr>
                    <w:r>
                      <w:rPr>
                        <w:b/>
                        <w:color w:val="425364" w:themeColor="text1"/>
                      </w:rPr>
                      <w:t>November 11</w:t>
                    </w:r>
                    <w:r w:rsidR="00652FE4">
                      <w:rPr>
                        <w:b/>
                        <w:color w:val="425364" w:themeColor="text1"/>
                      </w:rPr>
                      <w:t>, 202</w:t>
                    </w:r>
                    <w:r>
                      <w:rPr>
                        <w:b/>
                        <w:color w:val="425364" w:themeColor="text1"/>
                      </w:rPr>
                      <w:t>5</w:t>
                    </w:r>
                    <w:r w:rsidRPr="00E974D1" w:rsidR="002B5311">
                      <w:rPr>
                        <w:color w:val="425364" w:themeColor="text1"/>
                      </w:rPr>
                      <w:ptab w:alignment="right" w:relativeTo="margin" w:leader="none"/>
                    </w:r>
                    <w:r w:rsidRPr="00E974D1" w:rsidR="002B5311">
                      <w:rPr>
                        <w:color w:val="425364" w:themeColor="text1"/>
                      </w:rPr>
                      <w:t>info@watsonecon.ca</w:t>
                    </w:r>
                  </w:p>
                </w:txbxContent>
              </v:textbox>
              <w10:anchorlock/>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547A3645" w14:textId="77777777">
    <w:pPr>
      <w:pStyle w:val="Footer"/>
      <w:pBdr>
        <w:top w:val="single" w:color="425364" w:themeColor="text1" w:sz="6" w:space="1"/>
      </w:pBdr>
      <w:spacing w:before="240"/>
      <w:rPr>
        <w:rStyle w:val="WatsonTextinFooter"/>
      </w:rPr>
    </w:pPr>
  </w:p>
  <w:p w:rsidRPr="00E90474" w:rsidR="002B5311" w:rsidP="00E90474" w:rsidRDefault="002B5311" w14:paraId="3EECC528" w14:textId="3235FBA0">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v</w:t>
    </w:r>
    <w:proofErr w:type="spellStart"/>
    <w:r>
      <w:rPr>
        <w:rStyle w:val="BodyText125Char"/>
        <w:rFonts w:eastAsiaTheme="minorHAnsi"/>
        <w:sz w:val="20"/>
      </w:rPr>
      <w:t>i</w:t>
    </w:r>
    <w:proofErr w:type="spellEnd"/>
    <w:r w:rsidRPr="00B705A3">
      <w:rPr>
        <w:rStyle w:val="BodyText125Char"/>
        <w:rFonts w:eastAsiaTheme="minorHAnsi"/>
        <w:noProof/>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7CDA" w:rsidP="00E97CDA" w:rsidRDefault="00E97CDA" w14:paraId="6C0242B3" w14:textId="77777777">
    <w:pPr>
      <w:pStyle w:val="Footer"/>
      <w:pBdr>
        <w:top w:val="single" w:color="425364" w:themeColor="text1" w:sz="6" w:space="1"/>
      </w:pBdr>
      <w:spacing w:before="240"/>
      <w:rPr>
        <w:rStyle w:val="WatsonTextinFooter"/>
      </w:rPr>
    </w:pPr>
  </w:p>
  <w:p w:rsidRPr="00B60190" w:rsidR="00E97CDA" w:rsidP="00B60190" w:rsidRDefault="00E97CDA" w14:paraId="17ACEA34" w14:textId="5FFE0F68">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1-1</w:t>
    </w:r>
    <w:r w:rsidRPr="00B705A3">
      <w:rPr>
        <w:rStyle w:val="BodyText125Char"/>
        <w:rFonts w:eastAsiaTheme="minorHAnsi"/>
        <w:noProof/>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0529A43B" w14:textId="77777777">
    <w:pPr>
      <w:pStyle w:val="Footer"/>
      <w:pBdr>
        <w:top w:val="single" w:color="425364" w:themeColor="text1" w:sz="6" w:space="1"/>
      </w:pBdr>
      <w:spacing w:before="240"/>
      <w:rPr>
        <w:rStyle w:val="WatsonTextinFooter"/>
      </w:rPr>
    </w:pPr>
  </w:p>
  <w:p w:rsidRPr="00E90474" w:rsidR="002B5311" w:rsidP="00E90474" w:rsidRDefault="002B5311" w14:paraId="4AE5F218" w14:textId="3AD2CEAE">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D17B7C" w:rsidR="00D17B7C">
      <w:rPr>
        <w:rStyle w:val="BodyText125Char"/>
        <w:rFonts w:eastAsiaTheme="minorHAnsi"/>
        <w:sz w:val="20"/>
      </w:rPr>
      <w:t xml:space="preserve"> </w:t>
    </w:r>
    <w:r w:rsidRPr="00B705A3" w:rsidR="00D17B7C">
      <w:rPr>
        <w:rStyle w:val="BodyText125Char"/>
        <w:rFonts w:eastAsiaTheme="minorHAnsi"/>
        <w:sz w:val="20"/>
      </w:rPr>
      <w:t xml:space="preserve">PAGE </w:t>
    </w:r>
    <w:r w:rsidRPr="00B705A3" w:rsidR="00D17B7C">
      <w:rPr>
        <w:rStyle w:val="BodyText125Char"/>
        <w:rFonts w:eastAsiaTheme="minorHAnsi"/>
        <w:sz w:val="20"/>
      </w:rPr>
      <w:fldChar w:fldCharType="begin"/>
    </w:r>
    <w:r w:rsidRPr="00B705A3" w:rsidR="00D17B7C">
      <w:rPr>
        <w:rStyle w:val="BodyText125Char"/>
        <w:rFonts w:eastAsiaTheme="minorHAnsi"/>
        <w:sz w:val="20"/>
      </w:rPr>
      <w:instrText xml:space="preserve"> PAGE   \* MERGEFORMAT </w:instrText>
    </w:r>
    <w:r w:rsidRPr="00B705A3" w:rsidR="00D17B7C">
      <w:rPr>
        <w:rStyle w:val="BodyText125Char"/>
        <w:rFonts w:eastAsiaTheme="minorHAnsi"/>
        <w:sz w:val="20"/>
      </w:rPr>
      <w:fldChar w:fldCharType="separate"/>
    </w:r>
    <w:r w:rsidR="00D17B7C">
      <w:rPr>
        <w:rStyle w:val="BodyText125Char"/>
        <w:rFonts w:eastAsiaTheme="minorHAnsi"/>
        <w:sz w:val="20"/>
      </w:rPr>
      <w:t>6</w:t>
    </w:r>
    <w:r w:rsidRPr="00B705A3" w:rsidR="00D17B7C">
      <w:rPr>
        <w:rStyle w:val="BodyText125Char"/>
        <w:rFonts w:eastAsiaTheme="minorHAnsi"/>
        <w:noProof/>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7CDA" w:rsidP="00E97CDA" w:rsidRDefault="00E97CDA" w14:paraId="01C6A56B" w14:textId="77777777">
    <w:pPr>
      <w:pStyle w:val="Footer"/>
      <w:pBdr>
        <w:top w:val="single" w:color="425364" w:themeColor="text1" w:sz="6" w:space="1"/>
      </w:pBdr>
      <w:spacing w:before="240"/>
      <w:rPr>
        <w:rStyle w:val="WatsonTextinFooter"/>
      </w:rPr>
    </w:pPr>
  </w:p>
  <w:p w:rsidRPr="00E90474" w:rsidR="00E97CDA" w:rsidP="00E90474" w:rsidRDefault="00E97CDA" w14:paraId="5F498BDE" w14:textId="7BC6411B">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D17B7C" w:rsidR="00D17B7C">
      <w:rPr>
        <w:rStyle w:val="BodyText125Char"/>
        <w:rFonts w:eastAsiaTheme="minorHAnsi"/>
        <w:sz w:val="20"/>
      </w:rPr>
      <w:t xml:space="preserve"> </w:t>
    </w:r>
    <w:r w:rsidRPr="00B705A3" w:rsidR="00D17B7C">
      <w:rPr>
        <w:rStyle w:val="BodyText125Char"/>
        <w:rFonts w:eastAsiaTheme="minorHAnsi"/>
        <w:sz w:val="20"/>
      </w:rPr>
      <w:t xml:space="preserve">PAGE </w:t>
    </w:r>
    <w:r w:rsidRPr="00B705A3" w:rsidR="00D17B7C">
      <w:rPr>
        <w:rStyle w:val="BodyText125Char"/>
        <w:rFonts w:eastAsiaTheme="minorHAnsi"/>
        <w:sz w:val="20"/>
      </w:rPr>
      <w:fldChar w:fldCharType="begin"/>
    </w:r>
    <w:r w:rsidRPr="00B705A3" w:rsidR="00D17B7C">
      <w:rPr>
        <w:rStyle w:val="BodyText125Char"/>
        <w:rFonts w:eastAsiaTheme="minorHAnsi"/>
        <w:sz w:val="20"/>
      </w:rPr>
      <w:instrText xml:space="preserve"> PAGE   \* MERGEFORMAT </w:instrText>
    </w:r>
    <w:r w:rsidRPr="00B705A3" w:rsidR="00D17B7C">
      <w:rPr>
        <w:rStyle w:val="BodyText125Char"/>
        <w:rFonts w:eastAsiaTheme="minorHAnsi"/>
        <w:sz w:val="20"/>
      </w:rPr>
      <w:fldChar w:fldCharType="separate"/>
    </w:r>
    <w:r w:rsidR="00D17B7C">
      <w:rPr>
        <w:rStyle w:val="BodyText125Char"/>
        <w:rFonts w:eastAsiaTheme="minorHAnsi"/>
        <w:sz w:val="20"/>
      </w:rPr>
      <w:t>6</w:t>
    </w:r>
    <w:r w:rsidRPr="00B705A3" w:rsidR="00D17B7C">
      <w:rPr>
        <w:rStyle w:val="BodyText125Char"/>
        <w:rFonts w:eastAsiaTheme="minorHAnsi"/>
        <w:noProof/>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3ACB" w:rsidP="00E97CDA" w:rsidRDefault="008A3ACB" w14:paraId="695C4A3E" w14:textId="77777777">
    <w:pPr>
      <w:pStyle w:val="Footer"/>
      <w:pBdr>
        <w:top w:val="single" w:color="425364" w:themeColor="text1" w:sz="6" w:space="1"/>
      </w:pBdr>
      <w:spacing w:before="240"/>
      <w:rPr>
        <w:rStyle w:val="WatsonTextinFooter"/>
      </w:rPr>
    </w:pPr>
  </w:p>
  <w:p w:rsidRPr="00E90474" w:rsidR="008A3ACB" w:rsidP="00E90474" w:rsidRDefault="008A3ACB" w14:paraId="4EB282A7" w14:textId="6894D623">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D17B7C">
      <w:rPr>
        <w:rStyle w:val="BodyText125Char"/>
        <w:rFonts w:eastAsiaTheme="minorHAnsi"/>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2D320682" w14:textId="77777777">
    <w:pPr>
      <w:pStyle w:val="Footer"/>
      <w:pBdr>
        <w:top w:val="single" w:color="425364" w:themeColor="text1" w:sz="6" w:space="1"/>
      </w:pBdr>
      <w:spacing w:before="240"/>
      <w:rPr>
        <w:rStyle w:val="WatsonTextinFooter"/>
      </w:rPr>
    </w:pPr>
  </w:p>
  <w:p w:rsidRPr="00B705A3" w:rsidR="002B5311" w:rsidP="00B7405C" w:rsidRDefault="002B5311" w14:paraId="73307F3E"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Pr>
        <w:rStyle w:val="BodyText125Char"/>
        <w:rFonts w:eastAsiaTheme="minorHAnsi"/>
        <w:sz w:val="20"/>
      </w:rPr>
      <w:t xml:space="preserve">PAGE </w:t>
    </w:r>
    <w:r w:rsidRPr="00776DB2">
      <w:rPr>
        <w:rStyle w:val="BodyText125Char"/>
        <w:rFonts w:eastAsiaTheme="minorHAnsi"/>
        <w:sz w:val="20"/>
      </w:rPr>
      <w:fldChar w:fldCharType="begin"/>
    </w:r>
    <w:r w:rsidRPr="00776DB2">
      <w:rPr>
        <w:rStyle w:val="BodyText125Char"/>
        <w:rFonts w:eastAsiaTheme="minorHAnsi"/>
        <w:sz w:val="20"/>
      </w:rPr>
      <w:instrText xml:space="preserve"> PAGE   \* MERGEFORMAT </w:instrText>
    </w:r>
    <w:r w:rsidRPr="00776DB2">
      <w:rPr>
        <w:rStyle w:val="BodyText125Char"/>
        <w:rFonts w:eastAsiaTheme="minorHAnsi"/>
        <w:sz w:val="20"/>
      </w:rPr>
      <w:fldChar w:fldCharType="separate"/>
    </w:r>
    <w:r w:rsidRPr="00776DB2">
      <w:rPr>
        <w:rStyle w:val="BodyText125Char"/>
        <w:rFonts w:eastAsiaTheme="minorHAnsi"/>
        <w:noProof/>
        <w:sz w:val="20"/>
      </w:rPr>
      <w:t>1</w:t>
    </w:r>
    <w:r w:rsidRPr="00776DB2">
      <w:rPr>
        <w:rStyle w:val="BodyText125Char"/>
        <w:rFonts w:eastAsiaTheme="minorHAnsi"/>
        <w:noProof/>
        <w:sz w:val="20"/>
      </w:rPr>
      <w:fldChar w:fldCharType="end"/>
    </w:r>
  </w:p>
  <w:p w:rsidRPr="00097E35" w:rsidR="002B5311" w:rsidP="00B7405C" w:rsidRDefault="002B5311" w14:paraId="268E5B72" w14:textId="5B74FB7B">
    <w:pPr>
      <w:pStyle w:val="Footer"/>
      <w:pBdr>
        <w:top w:val="single" w:color="425364" w:themeColor="text1" w:sz="6" w:space="1"/>
      </w:pBdr>
      <w:rPr>
        <w:sz w:val="12"/>
        <w:szCs w:val="12"/>
      </w:rPr>
    </w:pPr>
    <w:r w:rsidRPr="00097E35">
      <w:rPr>
        <w:sz w:val="12"/>
        <w:szCs w:val="12"/>
      </w:rPr>
      <w:fldChar w:fldCharType="begin"/>
    </w:r>
    <w:r w:rsidRPr="00097E35">
      <w:rPr>
        <w:sz w:val="12"/>
        <w:szCs w:val="12"/>
      </w:rPr>
      <w:instrText xml:space="preserve"> FILENAME  \p  \* MERGEFORMAT </w:instrText>
    </w:r>
    <w:r w:rsidRPr="00097E35">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097E35">
      <w:rPr>
        <w:sz w:val="12"/>
        <w:szCs w:val="1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7CDA" w:rsidP="00E97CDA" w:rsidRDefault="00E97CDA" w14:paraId="2756F877" w14:textId="77777777">
    <w:pPr>
      <w:pStyle w:val="Footer"/>
      <w:pBdr>
        <w:top w:val="single" w:color="425364" w:themeColor="text1" w:sz="6" w:space="1"/>
      </w:pBdr>
      <w:spacing w:before="240"/>
      <w:rPr>
        <w:rStyle w:val="WatsonTextinFooter"/>
      </w:rPr>
    </w:pPr>
  </w:p>
  <w:p w:rsidRPr="00B705A3" w:rsidR="00E97CDA" w:rsidP="00E97CDA" w:rsidRDefault="00E97CDA" w14:paraId="4E86A8A6"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Pr>
        <w:rStyle w:val="BodyText125Char"/>
        <w:rFonts w:eastAsiaTheme="minorHAnsi"/>
        <w:sz w:val="20"/>
      </w:rPr>
      <w:t xml:space="preserve">PAGE </w:t>
    </w:r>
    <w:r w:rsidRPr="00776DB2">
      <w:rPr>
        <w:rStyle w:val="BodyText125Char"/>
        <w:rFonts w:eastAsiaTheme="minorHAnsi"/>
        <w:sz w:val="20"/>
      </w:rPr>
      <w:fldChar w:fldCharType="begin"/>
    </w:r>
    <w:r w:rsidRPr="00776DB2">
      <w:rPr>
        <w:rStyle w:val="BodyText125Char"/>
        <w:rFonts w:eastAsiaTheme="minorHAnsi"/>
        <w:sz w:val="20"/>
      </w:rPr>
      <w:instrText xml:space="preserve"> PAGE   \* MERGEFORMAT </w:instrText>
    </w:r>
    <w:r w:rsidRPr="00776DB2">
      <w:rPr>
        <w:rStyle w:val="BodyText125Char"/>
        <w:rFonts w:eastAsiaTheme="minorHAnsi"/>
        <w:sz w:val="20"/>
      </w:rPr>
      <w:fldChar w:fldCharType="separate"/>
    </w:r>
    <w:r>
      <w:rPr>
        <w:rStyle w:val="BodyText125Char"/>
        <w:rFonts w:eastAsiaTheme="minorHAnsi"/>
        <w:sz w:val="20"/>
      </w:rPr>
      <w:t>3-1</w:t>
    </w:r>
    <w:r w:rsidRPr="00776DB2">
      <w:rPr>
        <w:rStyle w:val="BodyText125Char"/>
        <w:rFonts w:eastAsiaTheme="minorHAnsi"/>
        <w:noProof/>
        <w:sz w:val="20"/>
      </w:rPr>
      <w:fldChar w:fldCharType="end"/>
    </w:r>
  </w:p>
  <w:p w:rsidRPr="00E97CDA" w:rsidR="002B5311" w:rsidP="00E97CDA" w:rsidRDefault="002B5311" w14:paraId="1F00C3B8" w14:textId="65F5338B">
    <w:pPr>
      <w:pStyle w:val="Footer"/>
      <w:pBdr>
        <w:top w:val="single" w:color="425364" w:themeColor="text1" w:sz="6" w:space="1"/>
      </w:pBdr>
      <w:rPr>
        <w:sz w:val="12"/>
        <w:szCs w:val="1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5B23FCA1" w14:textId="77777777">
    <w:pPr>
      <w:pStyle w:val="Footer"/>
      <w:pBdr>
        <w:top w:val="single" w:color="425364" w:themeColor="text1" w:sz="6" w:space="1"/>
      </w:pBdr>
      <w:spacing w:before="240"/>
      <w:rPr>
        <w:rStyle w:val="WatsonTextinFooter"/>
      </w:rPr>
    </w:pPr>
  </w:p>
  <w:p w:rsidRPr="00B705A3" w:rsidR="002B5311" w:rsidP="00B7405C" w:rsidRDefault="002B5311" w14:paraId="0E9F82BC"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rsidRPr="00097E35" w:rsidR="002B5311" w:rsidP="00B7405C" w:rsidRDefault="002B5311" w14:paraId="18671C66" w14:textId="0F809160">
    <w:pPr>
      <w:pStyle w:val="Footer"/>
      <w:pBdr>
        <w:top w:val="single" w:color="425364" w:themeColor="text1" w:sz="6" w:space="1"/>
      </w:pBdr>
      <w:rPr>
        <w:sz w:val="12"/>
        <w:szCs w:val="12"/>
      </w:rPr>
    </w:pPr>
    <w:r w:rsidRPr="00097E35">
      <w:rPr>
        <w:sz w:val="12"/>
        <w:szCs w:val="12"/>
      </w:rPr>
      <w:fldChar w:fldCharType="begin"/>
    </w:r>
    <w:r w:rsidRPr="00097E35">
      <w:rPr>
        <w:sz w:val="12"/>
        <w:szCs w:val="12"/>
      </w:rPr>
      <w:instrText xml:space="preserve"> FILENAME  \p  \* MERGEFORMAT </w:instrText>
    </w:r>
    <w:r w:rsidRPr="00097E35">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097E35">
      <w:rPr>
        <w:sz w:val="12"/>
        <w:szCs w:val="1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7CDA" w:rsidP="00E97CDA" w:rsidRDefault="00E97CDA" w14:paraId="49297182" w14:textId="77777777">
    <w:pPr>
      <w:pStyle w:val="Footer"/>
      <w:pBdr>
        <w:top w:val="single" w:color="425364" w:themeColor="text1" w:sz="6" w:space="1"/>
      </w:pBdr>
      <w:spacing w:before="240"/>
      <w:rPr>
        <w:rStyle w:val="WatsonTextinFooter"/>
      </w:rPr>
    </w:pPr>
  </w:p>
  <w:p w:rsidRPr="00E90474" w:rsidR="00E97CDA" w:rsidP="00E90474" w:rsidRDefault="00E97CDA" w14:paraId="1B9C7543" w14:textId="3E89DDFD">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092A74E0" w14:textId="77777777">
    <w:pPr>
      <w:pStyle w:val="Footer"/>
      <w:pBdr>
        <w:top w:val="single" w:color="425364" w:themeColor="text1" w:sz="6" w:space="1"/>
      </w:pBdr>
      <w:spacing w:before="240"/>
      <w:rPr>
        <w:rStyle w:val="WatsonTextinFooter"/>
      </w:rPr>
    </w:pPr>
  </w:p>
  <w:p w:rsidRPr="00582BA1" w:rsidR="002B5311" w:rsidP="00582BA1" w:rsidRDefault="002B5311" w14:paraId="6FF8FA43" w14:textId="129FB125">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Pr>
        <w:rStyle w:val="BodyText125Char"/>
        <w:rFonts w:eastAsiaTheme="minorHAnsi"/>
        <w:sz w:val="20"/>
      </w:rPr>
      <w:t xml:space="preserve">PAGE </w:t>
    </w:r>
    <w:r w:rsidRPr="00776DB2">
      <w:rPr>
        <w:rStyle w:val="BodyText125Char"/>
        <w:rFonts w:eastAsiaTheme="minorHAnsi"/>
        <w:sz w:val="20"/>
      </w:rPr>
      <w:fldChar w:fldCharType="begin"/>
    </w:r>
    <w:r w:rsidRPr="00776DB2">
      <w:rPr>
        <w:rStyle w:val="BodyText125Char"/>
        <w:rFonts w:eastAsiaTheme="minorHAnsi"/>
        <w:sz w:val="20"/>
      </w:rPr>
      <w:instrText xml:space="preserve"> PAGE   \* MERGEFORMAT </w:instrText>
    </w:r>
    <w:r w:rsidRPr="00776DB2">
      <w:rPr>
        <w:rStyle w:val="BodyText125Char"/>
        <w:rFonts w:eastAsiaTheme="minorHAnsi"/>
        <w:sz w:val="20"/>
      </w:rPr>
      <w:fldChar w:fldCharType="separate"/>
    </w:r>
    <w:r w:rsidRPr="00776DB2">
      <w:rPr>
        <w:rStyle w:val="BodyText125Char"/>
        <w:rFonts w:eastAsiaTheme="minorHAnsi"/>
        <w:noProof/>
        <w:sz w:val="20"/>
      </w:rPr>
      <w:t>1</w:t>
    </w:r>
    <w:r w:rsidRPr="00776DB2">
      <w:rPr>
        <w:rStyle w:val="BodyText125Char"/>
        <w:rFonts w:eastAsiaTheme="minorHAns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090548" w:rsidRDefault="002B5311" w14:paraId="6541C12A" w14:textId="77777777">
    <w:pPr>
      <w:pStyle w:val="Footer"/>
      <w:pBdr>
        <w:top w:val="single" w:color="425364" w:themeColor="text1" w:sz="6" w:space="1"/>
      </w:pBdr>
      <w:spacing w:before="240"/>
      <w:rPr>
        <w:rStyle w:val="WatsonTextinFooter"/>
      </w:rPr>
    </w:pPr>
  </w:p>
  <w:p w:rsidRPr="00B705A3" w:rsidR="002B5311" w:rsidP="00090548" w:rsidRDefault="002B5311" w14:paraId="269C513C"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rsidRPr="00097E35" w:rsidR="002B5311" w:rsidP="00090548" w:rsidRDefault="002B5311" w14:paraId="55E530A1" w14:textId="713E919A">
    <w:pPr>
      <w:pStyle w:val="Footer"/>
      <w:pBdr>
        <w:top w:val="single" w:color="425364" w:themeColor="text1" w:sz="6" w:space="1"/>
      </w:pBdr>
      <w:rPr>
        <w:sz w:val="12"/>
        <w:szCs w:val="12"/>
      </w:rPr>
    </w:pPr>
    <w:r w:rsidRPr="00097E35">
      <w:rPr>
        <w:sz w:val="12"/>
        <w:szCs w:val="12"/>
      </w:rPr>
      <w:fldChar w:fldCharType="begin"/>
    </w:r>
    <w:r w:rsidRPr="00097E35">
      <w:rPr>
        <w:sz w:val="12"/>
        <w:szCs w:val="12"/>
      </w:rPr>
      <w:instrText xml:space="preserve"> FILENAME  \p  \* MERGEFORMAT </w:instrText>
    </w:r>
    <w:r w:rsidRPr="00097E35">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097E35">
      <w:rPr>
        <w:sz w:val="12"/>
        <w:szCs w:val="1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7CDA" w:rsidP="00E97CDA" w:rsidRDefault="00E97CDA" w14:paraId="1A534890" w14:textId="77777777">
    <w:pPr>
      <w:pStyle w:val="Footer"/>
      <w:pBdr>
        <w:top w:val="single" w:color="425364" w:themeColor="text1" w:sz="6" w:space="1"/>
      </w:pBdr>
      <w:spacing w:before="240"/>
      <w:rPr>
        <w:rStyle w:val="WatsonTextinFooter"/>
      </w:rPr>
    </w:pPr>
  </w:p>
  <w:p w:rsidRPr="00582BA1" w:rsidR="002B5311" w:rsidP="00582BA1" w:rsidRDefault="00E97CDA" w14:paraId="6E5AF70B" w14:textId="6E1552E5">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Pr>
        <w:rStyle w:val="BodyText125Char"/>
        <w:rFonts w:eastAsiaTheme="minorHAnsi"/>
        <w:sz w:val="20"/>
      </w:rPr>
      <w:t xml:space="preserve">PAGE </w:t>
    </w:r>
    <w:r w:rsidRPr="00776DB2">
      <w:rPr>
        <w:rStyle w:val="BodyText125Char"/>
        <w:rFonts w:eastAsiaTheme="minorHAnsi"/>
        <w:sz w:val="20"/>
      </w:rPr>
      <w:fldChar w:fldCharType="begin"/>
    </w:r>
    <w:r w:rsidRPr="00776DB2">
      <w:rPr>
        <w:rStyle w:val="BodyText125Char"/>
        <w:rFonts w:eastAsiaTheme="minorHAnsi"/>
        <w:sz w:val="20"/>
      </w:rPr>
      <w:instrText xml:space="preserve"> PAGE   \* MERGEFORMAT </w:instrText>
    </w:r>
    <w:r w:rsidRPr="00776DB2">
      <w:rPr>
        <w:rStyle w:val="BodyText125Char"/>
        <w:rFonts w:eastAsiaTheme="minorHAnsi"/>
        <w:sz w:val="20"/>
      </w:rPr>
      <w:fldChar w:fldCharType="separate"/>
    </w:r>
    <w:r>
      <w:rPr>
        <w:rStyle w:val="BodyText125Char"/>
        <w:rFonts w:eastAsiaTheme="minorHAnsi"/>
        <w:sz w:val="20"/>
      </w:rPr>
      <w:t>4-1</w:t>
    </w:r>
    <w:r w:rsidRPr="00776DB2">
      <w:rPr>
        <w:rStyle w:val="BodyText125Char"/>
        <w:rFonts w:eastAsiaTheme="minorHAnsi"/>
        <w:noProof/>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2E34485B" w14:textId="77777777">
    <w:pPr>
      <w:pStyle w:val="Footer"/>
      <w:pBdr>
        <w:top w:val="single" w:color="425364" w:themeColor="text1" w:sz="6" w:space="1"/>
      </w:pBdr>
      <w:spacing w:before="240"/>
      <w:rPr>
        <w:rStyle w:val="WatsonTextinFooter"/>
      </w:rPr>
    </w:pPr>
  </w:p>
  <w:p w:rsidRPr="00B705A3" w:rsidR="002B5311" w:rsidP="00B7405C" w:rsidRDefault="002B5311" w14:paraId="26C883DB"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rsidRPr="00097E35" w:rsidR="002B5311" w:rsidP="00B7405C" w:rsidRDefault="002B5311" w14:paraId="75773642" w14:textId="3FFA7C72">
    <w:pPr>
      <w:pStyle w:val="Footer"/>
      <w:pBdr>
        <w:top w:val="single" w:color="425364" w:themeColor="text1" w:sz="6" w:space="1"/>
      </w:pBdr>
      <w:rPr>
        <w:sz w:val="12"/>
        <w:szCs w:val="12"/>
      </w:rPr>
    </w:pPr>
    <w:r w:rsidRPr="00097E35">
      <w:rPr>
        <w:sz w:val="12"/>
        <w:szCs w:val="12"/>
      </w:rPr>
      <w:fldChar w:fldCharType="begin"/>
    </w:r>
    <w:r w:rsidRPr="00097E35">
      <w:rPr>
        <w:sz w:val="12"/>
        <w:szCs w:val="12"/>
      </w:rPr>
      <w:instrText xml:space="preserve"> FILENAME  \p  \* MERGEFORMAT </w:instrText>
    </w:r>
    <w:r w:rsidRPr="00097E35">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097E35">
      <w:rPr>
        <w:sz w:val="12"/>
        <w:szCs w:val="1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7CDA" w:rsidP="00E97CDA" w:rsidRDefault="00E97CDA" w14:paraId="5C07FAAC" w14:textId="77777777">
    <w:pPr>
      <w:pStyle w:val="Footer"/>
      <w:pBdr>
        <w:top w:val="single" w:color="425364" w:themeColor="text1" w:sz="6" w:space="1"/>
      </w:pBdr>
      <w:spacing w:before="240"/>
      <w:rPr>
        <w:rStyle w:val="WatsonTextinFooter"/>
      </w:rPr>
    </w:pPr>
  </w:p>
  <w:p w:rsidRPr="00582BA1" w:rsidR="00E97CDA" w:rsidP="00582BA1" w:rsidRDefault="00E97CDA" w14:paraId="60632410" w14:textId="59ED2431">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3B246E4E" w14:textId="77777777">
    <w:pPr>
      <w:pStyle w:val="Footer"/>
      <w:pBdr>
        <w:top w:val="single" w:color="425364" w:themeColor="text1" w:sz="6" w:space="1"/>
      </w:pBdr>
      <w:spacing w:before="240"/>
      <w:rPr>
        <w:rStyle w:val="WatsonTextinFooter"/>
      </w:rPr>
    </w:pPr>
  </w:p>
  <w:p w:rsidRPr="00B705A3" w:rsidR="002B5311" w:rsidP="00B7405C" w:rsidRDefault="002B5311" w14:paraId="7FA88B7C"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v</w:t>
    </w:r>
    <w:proofErr w:type="spellStart"/>
    <w:r>
      <w:rPr>
        <w:rStyle w:val="BodyText125Char"/>
        <w:rFonts w:eastAsiaTheme="minorHAnsi"/>
        <w:sz w:val="20"/>
      </w:rPr>
      <w:t>i</w:t>
    </w:r>
    <w:proofErr w:type="spellEnd"/>
    <w:r w:rsidRPr="00B705A3">
      <w:rPr>
        <w:rStyle w:val="BodyText125Char"/>
        <w:rFonts w:eastAsiaTheme="minorHAnsi"/>
        <w:noProof/>
        <w:sz w:val="20"/>
      </w:rPr>
      <w:fldChar w:fldCharType="end"/>
    </w:r>
  </w:p>
  <w:p w:rsidRPr="00097E35" w:rsidR="002B5311" w:rsidP="00B7405C" w:rsidRDefault="002B5311" w14:paraId="7FFC1C7D" w14:textId="1137FA5A">
    <w:pPr>
      <w:pStyle w:val="Footer"/>
      <w:pBdr>
        <w:top w:val="single" w:color="425364" w:themeColor="text1" w:sz="6" w:space="1"/>
      </w:pBdr>
      <w:rPr>
        <w:sz w:val="12"/>
        <w:szCs w:val="12"/>
      </w:rPr>
    </w:pPr>
    <w:r w:rsidRPr="00097E35">
      <w:rPr>
        <w:sz w:val="12"/>
        <w:szCs w:val="12"/>
      </w:rPr>
      <w:fldChar w:fldCharType="begin"/>
    </w:r>
    <w:r w:rsidRPr="00097E35">
      <w:rPr>
        <w:sz w:val="12"/>
        <w:szCs w:val="12"/>
      </w:rPr>
      <w:instrText xml:space="preserve"> FILENAME  \p  \* MERGEFORMAT </w:instrText>
    </w:r>
    <w:r w:rsidRPr="00097E35">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097E35">
      <w:rPr>
        <w:sz w:val="12"/>
        <w:szCs w:val="1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7CDA" w:rsidP="00E97CDA" w:rsidRDefault="00E97CDA" w14:paraId="2BB8130B" w14:textId="77777777">
    <w:pPr>
      <w:pStyle w:val="Footer"/>
      <w:pBdr>
        <w:top w:val="single" w:color="425364" w:themeColor="text1" w:sz="6" w:space="1"/>
      </w:pBdr>
      <w:spacing w:before="240"/>
      <w:rPr>
        <w:rStyle w:val="WatsonTextinFooter"/>
      </w:rPr>
    </w:pPr>
  </w:p>
  <w:p w:rsidRPr="00582BA1" w:rsidR="00E97CDA" w:rsidP="00582BA1" w:rsidRDefault="00E97CDA" w14:paraId="7BF5DBA1" w14:textId="1DE97D52">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5-1</w:t>
    </w:r>
    <w:r w:rsidRPr="00B705A3">
      <w:rPr>
        <w:rStyle w:val="BodyText125Char"/>
        <w:rFonts w:eastAsiaTheme="minorHAnsi"/>
        <w:noProof/>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3316ADEA" w14:textId="77777777">
    <w:pPr>
      <w:pStyle w:val="Footer"/>
      <w:pBdr>
        <w:top w:val="single" w:color="425364" w:themeColor="text1" w:sz="6" w:space="1"/>
      </w:pBdr>
      <w:spacing w:before="240"/>
      <w:rPr>
        <w:rStyle w:val="WatsonTextinFooter"/>
      </w:rPr>
    </w:pPr>
  </w:p>
  <w:p w:rsidRPr="00B705A3" w:rsidR="002B5311" w:rsidP="00B7405C" w:rsidRDefault="002B5311" w14:paraId="081AA701"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rsidRPr="00097E35" w:rsidR="002B5311" w:rsidP="00B7405C" w:rsidRDefault="002B5311" w14:paraId="01857F4C" w14:textId="36F3EFDF">
    <w:pPr>
      <w:pStyle w:val="Footer"/>
      <w:pBdr>
        <w:top w:val="single" w:color="425364" w:themeColor="text1" w:sz="6" w:space="1"/>
      </w:pBdr>
      <w:rPr>
        <w:sz w:val="12"/>
        <w:szCs w:val="12"/>
      </w:rPr>
    </w:pPr>
    <w:r w:rsidRPr="00097E35">
      <w:rPr>
        <w:sz w:val="12"/>
        <w:szCs w:val="12"/>
      </w:rPr>
      <w:fldChar w:fldCharType="begin"/>
    </w:r>
    <w:r w:rsidRPr="00097E35">
      <w:rPr>
        <w:sz w:val="12"/>
        <w:szCs w:val="12"/>
      </w:rPr>
      <w:instrText xml:space="preserve"> FILENAME  \p  \* MERGEFORMAT </w:instrText>
    </w:r>
    <w:r w:rsidRPr="00097E35">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097E35">
      <w:rPr>
        <w:sz w:val="12"/>
        <w:szCs w:val="1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7CDA" w:rsidP="00E97CDA" w:rsidRDefault="00E97CDA" w14:paraId="09CAF8C7" w14:textId="77777777">
    <w:pPr>
      <w:pStyle w:val="Footer"/>
      <w:pBdr>
        <w:top w:val="single" w:color="425364" w:themeColor="text1" w:sz="6" w:space="1"/>
      </w:pBdr>
      <w:spacing w:before="240"/>
      <w:rPr>
        <w:rStyle w:val="WatsonTextinFooter"/>
      </w:rPr>
    </w:pPr>
  </w:p>
  <w:p w:rsidRPr="00582BA1" w:rsidR="00E97CDA" w:rsidP="00582BA1" w:rsidRDefault="00E97CDA" w14:paraId="5C678DDF" w14:textId="190ED02B">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10B3B53E" w14:textId="77777777">
    <w:pPr>
      <w:pStyle w:val="Footer"/>
      <w:pBdr>
        <w:top w:val="single" w:color="425364" w:themeColor="text1" w:sz="6" w:space="1"/>
      </w:pBdr>
      <w:spacing w:before="240"/>
      <w:rPr>
        <w:rStyle w:val="WatsonTextinFooter"/>
      </w:rPr>
    </w:pPr>
  </w:p>
  <w:p w:rsidRPr="00B705A3" w:rsidR="002B5311" w:rsidP="00B7405C" w:rsidRDefault="002B5311" w14:paraId="593CD5ED"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v</w:t>
    </w:r>
    <w:proofErr w:type="spellStart"/>
    <w:r>
      <w:rPr>
        <w:rStyle w:val="BodyText125Char"/>
        <w:rFonts w:eastAsiaTheme="minorHAnsi"/>
        <w:sz w:val="20"/>
      </w:rPr>
      <w:t>i</w:t>
    </w:r>
    <w:proofErr w:type="spellEnd"/>
    <w:r w:rsidRPr="00B705A3">
      <w:rPr>
        <w:rStyle w:val="BodyText125Char"/>
        <w:rFonts w:eastAsiaTheme="minorHAnsi"/>
        <w:noProof/>
        <w:sz w:val="20"/>
      </w:rPr>
      <w:fldChar w:fldCharType="end"/>
    </w:r>
  </w:p>
  <w:p w:rsidRPr="00097E35" w:rsidR="002B5311" w:rsidP="00B7405C" w:rsidRDefault="002B5311" w14:paraId="0DE7CD1A" w14:textId="647B957B">
    <w:pPr>
      <w:pStyle w:val="Footer"/>
      <w:pBdr>
        <w:top w:val="single" w:color="425364" w:themeColor="text1" w:sz="6" w:space="1"/>
      </w:pBdr>
      <w:rPr>
        <w:sz w:val="12"/>
        <w:szCs w:val="12"/>
      </w:rPr>
    </w:pPr>
    <w:r w:rsidRPr="00097E35">
      <w:rPr>
        <w:sz w:val="12"/>
        <w:szCs w:val="12"/>
      </w:rPr>
      <w:fldChar w:fldCharType="begin"/>
    </w:r>
    <w:r w:rsidRPr="00097E35">
      <w:rPr>
        <w:sz w:val="12"/>
        <w:szCs w:val="12"/>
      </w:rPr>
      <w:instrText xml:space="preserve"> FILENAME  \p  \* MERGEFORMAT </w:instrText>
    </w:r>
    <w:r w:rsidRPr="00097E35">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097E35">
      <w:rPr>
        <w:sz w:val="12"/>
        <w:szCs w:val="12"/>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7CDA" w:rsidP="00E97CDA" w:rsidRDefault="00E97CDA" w14:paraId="67CCD4A5" w14:textId="77777777">
    <w:pPr>
      <w:pStyle w:val="Footer"/>
      <w:pBdr>
        <w:top w:val="single" w:color="425364" w:themeColor="text1" w:sz="6" w:space="1"/>
      </w:pBdr>
      <w:spacing w:before="240"/>
      <w:rPr>
        <w:rStyle w:val="WatsonTextinFooter"/>
      </w:rPr>
    </w:pPr>
  </w:p>
  <w:p w:rsidRPr="00582BA1" w:rsidR="002B5311" w:rsidP="00582BA1" w:rsidRDefault="00E97CDA" w14:paraId="7318C15F" w14:textId="382EBC4D">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6-1</w:t>
    </w:r>
    <w:r w:rsidRPr="00B705A3">
      <w:rPr>
        <w:rStyle w:val="BodyText125Char"/>
        <w:rFonts w:eastAsiaTheme="minorHAnsi"/>
        <w:noProof/>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183C15" w:rsidRDefault="002B5311" w14:paraId="431F65E4" w14:textId="77777777">
    <w:pPr>
      <w:pStyle w:val="Footer"/>
      <w:spacing w:before="240" w:after="600"/>
      <w:rPr>
        <w:rStyle w:val="WatsonTextinFoot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090548" w:rsidRDefault="002B5311" w14:paraId="433E4D53" w14:textId="77777777">
    <w:pPr>
      <w:pStyle w:val="Footer"/>
      <w:pBdr>
        <w:top w:val="single" w:color="425364" w:themeColor="text1" w:sz="6" w:space="1"/>
      </w:pBdr>
      <w:spacing w:before="240"/>
      <w:rPr>
        <w:rStyle w:val="WatsonTextinFooter"/>
      </w:rPr>
    </w:pPr>
  </w:p>
  <w:p w:rsidRPr="00B705A3" w:rsidR="002B5311" w:rsidP="00090548" w:rsidRDefault="002B5311" w14:paraId="48294BC2"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rsidRPr="00183C15" w:rsidR="002B5311" w:rsidP="00090548" w:rsidRDefault="002B5311" w14:paraId="734C2CD0" w14:textId="3636F529">
    <w:pPr>
      <w:pStyle w:val="Footer"/>
      <w:pBdr>
        <w:top w:val="single" w:color="425364" w:themeColor="text1" w:sz="6" w:space="1"/>
      </w:pBdr>
      <w:rPr>
        <w:sz w:val="12"/>
        <w:szCs w:val="1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31F19" w:rsidR="00931F19" w:rsidP="00931F19" w:rsidRDefault="00931F19" w14:paraId="523A3D15" w14:textId="7777777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5C010795" w14:textId="77777777">
    <w:pPr>
      <w:pStyle w:val="Footer"/>
      <w:pBdr>
        <w:top w:val="single" w:color="425364" w:themeColor="text1" w:sz="6" w:space="1"/>
      </w:pBdr>
      <w:spacing w:before="240"/>
      <w:rPr>
        <w:rStyle w:val="WatsonTextinFooter"/>
      </w:rPr>
    </w:pPr>
  </w:p>
  <w:p w:rsidRPr="006A048C" w:rsidR="002B5311" w:rsidP="006A048C" w:rsidRDefault="002B5311" w14:paraId="6B5848F5" w14:textId="22FB06E5">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Pr>
        <w:rStyle w:val="BodyText125Char"/>
        <w:rFonts w:eastAsiaTheme="minorHAnsi"/>
        <w:sz w:val="20"/>
      </w:rPr>
      <w:t>A-</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F19" w:rsidP="00931F19" w:rsidRDefault="00931F19" w14:paraId="1A41D4A2" w14:textId="77777777">
    <w:pPr>
      <w:pStyle w:val="Footer"/>
      <w:pBdr>
        <w:top w:val="single" w:color="425364" w:themeColor="text1" w:sz="6" w:space="1"/>
      </w:pBdr>
      <w:spacing w:before="240"/>
      <w:rPr>
        <w:rStyle w:val="WatsonTextinFooter"/>
      </w:rPr>
    </w:pPr>
  </w:p>
  <w:p w:rsidRPr="00582BA1" w:rsidR="00931F19" w:rsidP="00582BA1" w:rsidRDefault="00931F19" w14:paraId="59D4774C" w14:textId="1F5D7F94">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Pr>
        <w:rStyle w:val="BodyText125Char"/>
        <w:rFonts w:eastAsiaTheme="minorHAnsi"/>
        <w:sz w:val="20"/>
      </w:rPr>
      <w:t>A-</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38814722" w14:textId="77777777">
    <w:pPr>
      <w:pStyle w:val="Footer"/>
      <w:pBdr>
        <w:top w:val="single" w:color="425364" w:themeColor="text1" w:sz="6" w:space="1"/>
      </w:pBdr>
      <w:spacing w:before="240"/>
      <w:rPr>
        <w:rStyle w:val="WatsonTextinFooter"/>
      </w:rPr>
    </w:pPr>
  </w:p>
  <w:p w:rsidRPr="0003370D" w:rsidR="002B5311" w:rsidP="0003370D" w:rsidRDefault="002B5311" w14:paraId="5EE75B35" w14:textId="66648FCE">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Pr>
        <w:rStyle w:val="BodyText125Char"/>
        <w:rFonts w:eastAsiaTheme="minorHAnsi"/>
        <w:sz w:val="20"/>
      </w:rPr>
      <w:t>B-</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F19" w:rsidP="00931F19" w:rsidRDefault="00931F19" w14:paraId="435585B0" w14:textId="77777777">
    <w:pPr>
      <w:pStyle w:val="Footer"/>
      <w:pBdr>
        <w:top w:val="single" w:color="425364" w:themeColor="text1" w:sz="6" w:space="1"/>
      </w:pBdr>
      <w:spacing w:before="240"/>
      <w:rPr>
        <w:rStyle w:val="WatsonTextinFooter"/>
      </w:rPr>
    </w:pPr>
  </w:p>
  <w:p w:rsidRPr="0003370D" w:rsidR="00931F19" w:rsidP="0003370D" w:rsidRDefault="00931F19" w14:paraId="04A1A3B7" w14:textId="426886DB">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Pr>
        <w:rStyle w:val="BodyText125Char"/>
        <w:rFonts w:eastAsiaTheme="minorHAnsi"/>
        <w:sz w:val="20"/>
      </w:rPr>
      <w:t>B-</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00DE5ADB" w14:textId="77777777">
    <w:pPr>
      <w:pStyle w:val="Footer"/>
      <w:pBdr>
        <w:top w:val="single" w:color="425364" w:themeColor="text1" w:sz="6" w:space="1"/>
      </w:pBdr>
      <w:spacing w:before="240"/>
      <w:rPr>
        <w:rStyle w:val="WatsonTextinFooter"/>
      </w:rPr>
    </w:pPr>
  </w:p>
  <w:p w:rsidRPr="00B705A3" w:rsidR="002B5311" w:rsidP="00FE1C0D" w:rsidRDefault="002B5311" w14:paraId="6D502D4B"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PAGE</w:t>
    </w:r>
    <w:r>
      <w:rPr>
        <w:rStyle w:val="BodyText125Char"/>
        <w:rFonts w:eastAsiaTheme="minorHAnsi"/>
        <w:sz w:val="20"/>
      </w:rPr>
      <w:t xml:space="preserve"> C-</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p w:rsidRPr="00097E35" w:rsidR="002B5311" w:rsidP="00FE1C0D" w:rsidRDefault="002B5311" w14:paraId="37E676C1" w14:textId="6A98446C">
    <w:pPr>
      <w:pStyle w:val="Footer"/>
      <w:pBdr>
        <w:top w:val="single" w:color="425364" w:themeColor="text1" w:sz="6" w:space="1"/>
      </w:pBdr>
      <w:rPr>
        <w:sz w:val="12"/>
        <w:szCs w:val="12"/>
      </w:rPr>
    </w:pPr>
    <w:r w:rsidRPr="00097E35">
      <w:rPr>
        <w:sz w:val="12"/>
        <w:szCs w:val="12"/>
      </w:rPr>
      <w:fldChar w:fldCharType="begin"/>
    </w:r>
    <w:r w:rsidRPr="00097E35">
      <w:rPr>
        <w:sz w:val="12"/>
        <w:szCs w:val="12"/>
      </w:rPr>
      <w:instrText xml:space="preserve"> FILENAME  \p  \* MERGEFORMAT </w:instrText>
    </w:r>
    <w:r w:rsidRPr="00097E35">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097E35">
      <w:rPr>
        <w:sz w:val="12"/>
        <w:szCs w:val="1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F19" w:rsidP="00931F19" w:rsidRDefault="00931F19" w14:paraId="41224880" w14:textId="77777777">
    <w:pPr>
      <w:pStyle w:val="Footer"/>
      <w:pBdr>
        <w:top w:val="single" w:color="425364" w:themeColor="text1" w:sz="6" w:space="1"/>
      </w:pBdr>
      <w:spacing w:before="240"/>
      <w:rPr>
        <w:rStyle w:val="WatsonTextinFooter"/>
      </w:rPr>
    </w:pPr>
  </w:p>
  <w:p w:rsidRPr="0003370D" w:rsidR="00931F19" w:rsidP="0003370D" w:rsidRDefault="00931F19" w14:paraId="6221C9B9" w14:textId="627475FF">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PAGE</w:t>
    </w:r>
    <w:r>
      <w:rPr>
        <w:rStyle w:val="BodyText125Char"/>
        <w:rFonts w:eastAsiaTheme="minorHAnsi"/>
        <w:sz w:val="20"/>
      </w:rPr>
      <w:t xml:space="preserve"> C-</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6286" w:rsidRDefault="00AB6286" w14:paraId="29322E53" w14:textId="77777777">
    <w:pPr>
      <w:pStyle w:val="Footer"/>
      <w:pBdr>
        <w:top w:val="single" w:color="425364" w:themeColor="text1" w:sz="6" w:space="1"/>
      </w:pBdr>
      <w:spacing w:before="120"/>
      <w:rPr>
        <w:rStyle w:val="BodyText125Char"/>
        <w:rFonts w:eastAsiaTheme="minorHAnsi"/>
        <w:sz w:val="20"/>
      </w:rPr>
    </w:pPr>
  </w:p>
  <w:p w:rsidRPr="0003370D" w:rsidR="00AB6286" w:rsidP="0003370D" w:rsidRDefault="00AB6286" w14:paraId="08807B41" w14:textId="37875D23">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sidR="009F2F2C">
      <w:rPr>
        <w:rStyle w:val="BodyText125Char"/>
        <w:rFonts w:eastAsiaTheme="minorHAnsi"/>
        <w:sz w:val="20"/>
      </w:rPr>
      <w:t>C</w:t>
    </w:r>
    <w:r>
      <w:rPr>
        <w:rStyle w:val="BodyText125Char"/>
        <w:rFonts w:eastAsiaTheme="minorHAnsi"/>
        <w:sz w:val="20"/>
      </w:rPr>
      <w:t>-</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2</w:t>
    </w:r>
    <w:r w:rsidRPr="00B705A3">
      <w:rPr>
        <w:rStyle w:val="BodyText125Char"/>
        <w:rFonts w:eastAsiaTheme="minorHAnsi"/>
        <w:noProof/>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6286" w:rsidRDefault="00AB6286" w14:paraId="48EF0639" w14:textId="77777777">
    <w:pPr>
      <w:pStyle w:val="Footer"/>
      <w:pBdr>
        <w:top w:val="single" w:color="425364" w:themeColor="text1" w:sz="6" w:space="1"/>
      </w:pBdr>
      <w:spacing w:before="120"/>
      <w:rPr>
        <w:rStyle w:val="BodyText125Char"/>
        <w:rFonts w:eastAsiaTheme="minorHAnsi"/>
        <w:sz w:val="20"/>
      </w:rPr>
    </w:pPr>
  </w:p>
  <w:p w:rsidRPr="009E71D8" w:rsidR="00AB6286" w:rsidRDefault="00AB6286" w14:paraId="52073795" w14:textId="7AAB3282">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 xml:space="preserve">PAGE </w:t>
    </w:r>
    <w:r w:rsidR="009F2F2C">
      <w:rPr>
        <w:rStyle w:val="BodyText125Char"/>
        <w:rFonts w:eastAsiaTheme="minorHAnsi"/>
        <w:sz w:val="20"/>
      </w:rPr>
      <w:t>C</w:t>
    </w:r>
    <w:r>
      <w:rPr>
        <w:rStyle w:val="BodyText125Char"/>
        <w:rFonts w:eastAsiaTheme="minorHAnsi"/>
        <w:sz w:val="20"/>
      </w:rPr>
      <w:t>-</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778EE7BB" w14:textId="77777777">
    <w:pPr>
      <w:pStyle w:val="Footer"/>
      <w:pBdr>
        <w:top w:val="single" w:color="425364" w:themeColor="text1" w:sz="6" w:space="1"/>
      </w:pBdr>
      <w:spacing w:before="240"/>
      <w:rPr>
        <w:rStyle w:val="WatsonTextinFooter"/>
      </w:rPr>
    </w:pPr>
  </w:p>
  <w:p w:rsidRPr="0003370D" w:rsidR="002B5311" w:rsidP="0003370D" w:rsidRDefault="002B5311" w14:paraId="45E9BC80" w14:textId="7B752770">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PAGE</w:t>
    </w:r>
    <w:r>
      <w:rPr>
        <w:rStyle w:val="BodyText125Char"/>
        <w:rFonts w:eastAsiaTheme="minorHAnsi"/>
        <w:sz w:val="20"/>
      </w:rPr>
      <w:t xml:space="preserve"> D-</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090548" w:rsidRDefault="002B5311" w14:paraId="72AEE9FC" w14:textId="77777777">
    <w:pPr>
      <w:pStyle w:val="Footer"/>
      <w:pBdr>
        <w:top w:val="single" w:color="425364" w:themeColor="text1" w:sz="6" w:space="1"/>
      </w:pBdr>
      <w:spacing w:before="240"/>
      <w:rPr>
        <w:rStyle w:val="WatsonTextinFooter"/>
      </w:rPr>
    </w:pPr>
  </w:p>
  <w:p w:rsidRPr="00B705A3" w:rsidR="002B5311" w:rsidP="00090548" w:rsidRDefault="002B5311" w14:paraId="3B536587"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rsidRPr="00097E35" w:rsidR="002B5311" w:rsidP="00090548" w:rsidRDefault="002B5311" w14:paraId="096AC4FD" w14:textId="1D5DF474">
    <w:pPr>
      <w:pStyle w:val="Footer"/>
      <w:pBdr>
        <w:top w:val="single" w:color="425364" w:themeColor="text1" w:sz="6" w:space="1"/>
      </w:pBdr>
      <w:rPr>
        <w:sz w:val="12"/>
        <w:szCs w:val="12"/>
      </w:rPr>
    </w:pPr>
    <w:r w:rsidRPr="00097E35">
      <w:rPr>
        <w:sz w:val="12"/>
        <w:szCs w:val="12"/>
      </w:rPr>
      <w:fldChar w:fldCharType="begin"/>
    </w:r>
    <w:r w:rsidRPr="00097E35">
      <w:rPr>
        <w:sz w:val="12"/>
        <w:szCs w:val="12"/>
      </w:rPr>
      <w:instrText xml:space="preserve"> FILENAME  \p  \* MERGEFORMAT </w:instrText>
    </w:r>
    <w:r w:rsidRPr="00097E35">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097E35">
      <w:rPr>
        <w:sz w:val="12"/>
        <w:szCs w:val="12"/>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F19" w:rsidP="00931F19" w:rsidRDefault="00931F19" w14:paraId="6EF58282" w14:textId="77777777">
    <w:pPr>
      <w:pStyle w:val="Footer"/>
      <w:pBdr>
        <w:top w:val="single" w:color="425364" w:themeColor="text1" w:sz="6" w:space="1"/>
      </w:pBdr>
      <w:spacing w:before="240"/>
      <w:rPr>
        <w:rStyle w:val="WatsonTextinFooter"/>
      </w:rPr>
    </w:pPr>
  </w:p>
  <w:p w:rsidRPr="0003370D" w:rsidR="002B5311" w:rsidP="0003370D" w:rsidRDefault="00931F19" w14:paraId="2409043B" w14:textId="4311AA15">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PAGE</w:t>
    </w:r>
    <w:r>
      <w:rPr>
        <w:rStyle w:val="BodyText125Char"/>
        <w:rFonts w:eastAsiaTheme="minorHAnsi"/>
        <w:sz w:val="20"/>
      </w:rPr>
      <w:t xml:space="preserve"> D-</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2472EA" w:rsidRDefault="002B5311" w14:paraId="4A074AE7" w14:textId="77777777">
    <w:pPr>
      <w:pStyle w:val="Footer"/>
      <w:pBdr>
        <w:top w:val="single" w:color="425364" w:themeColor="text1" w:sz="6" w:space="1"/>
      </w:pBdr>
      <w:spacing w:before="240"/>
      <w:rPr>
        <w:rStyle w:val="WatsonTextinFooter"/>
      </w:rPr>
    </w:pPr>
  </w:p>
  <w:p w:rsidRPr="00B705A3" w:rsidR="002B5311" w:rsidP="002472EA" w:rsidRDefault="002B5311" w14:paraId="14D167EC"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PAGE</w:t>
    </w:r>
    <w:r>
      <w:rPr>
        <w:rStyle w:val="BodyText125Char"/>
        <w:rFonts w:eastAsiaTheme="minorHAnsi"/>
        <w:sz w:val="20"/>
      </w:rPr>
      <w:t xml:space="preserve"> J-</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rsidRPr="005A7BD3" w:rsidR="002B5311" w:rsidP="002472EA" w:rsidRDefault="002B5311" w14:paraId="408C80B5" w14:textId="1F79281F">
    <w:pPr>
      <w:pStyle w:val="Footer"/>
      <w:pBdr>
        <w:top w:val="single" w:color="425364" w:themeColor="text1" w:sz="6" w:space="1"/>
      </w:pBdr>
      <w:rPr>
        <w:sz w:val="12"/>
        <w:szCs w:val="12"/>
      </w:rPr>
    </w:pPr>
    <w:r w:rsidRPr="005A7BD3">
      <w:rPr>
        <w:sz w:val="12"/>
        <w:szCs w:val="12"/>
      </w:rPr>
      <w:fldChar w:fldCharType="begin"/>
    </w:r>
    <w:r w:rsidRPr="005A7BD3">
      <w:rPr>
        <w:sz w:val="12"/>
        <w:szCs w:val="12"/>
      </w:rPr>
      <w:instrText xml:space="preserve"> FILENAME  \p  \* MERGEFORMAT </w:instrText>
    </w:r>
    <w:r w:rsidRPr="005A7BD3">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5A7BD3">
      <w:rPr>
        <w:sz w:val="12"/>
        <w:szCs w:val="1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F19" w:rsidP="00931F19" w:rsidRDefault="00931F19" w14:paraId="4EA0C2B6" w14:textId="77777777">
    <w:pPr>
      <w:pStyle w:val="Footer"/>
      <w:pBdr>
        <w:top w:val="single" w:color="425364" w:themeColor="text1" w:sz="6" w:space="1"/>
      </w:pBdr>
      <w:spacing w:before="240"/>
      <w:rPr>
        <w:rStyle w:val="WatsonTextinFooter"/>
      </w:rPr>
    </w:pPr>
  </w:p>
  <w:p w:rsidRPr="0003370D" w:rsidR="00931F19" w:rsidP="0003370D" w:rsidRDefault="00931F19" w14:paraId="1871EAED" w14:textId="5AEE144C">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r w:rsidRPr="00B705A3">
      <w:rPr>
        <w:rStyle w:val="BodyText125Char"/>
        <w:rFonts w:eastAsiaTheme="minorHAnsi"/>
        <w:sz w:val="20"/>
      </w:rPr>
      <w:t>PAGE</w:t>
    </w:r>
    <w:r>
      <w:rPr>
        <w:rStyle w:val="BodyText125Char"/>
        <w:rFonts w:eastAsiaTheme="minorHAnsi"/>
        <w:sz w:val="20"/>
      </w:rPr>
      <w:t xml:space="preserve"> </w:t>
    </w:r>
    <w:r w:rsidR="009A57E8">
      <w:rPr>
        <w:rStyle w:val="BodyText125Char"/>
        <w:rFonts w:eastAsiaTheme="minorHAnsi"/>
        <w:sz w:val="20"/>
      </w:rPr>
      <w:t>D</w:t>
    </w:r>
    <w:r>
      <w:rPr>
        <w:rStyle w:val="BodyText125Char"/>
        <w:rFonts w:eastAsiaTheme="minorHAnsi"/>
        <w:sz w:val="20"/>
      </w:rPr>
      <w:t>-</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090548" w:rsidRDefault="002B5311" w14:paraId="53D3B1C7" w14:textId="77777777">
    <w:pPr>
      <w:pStyle w:val="Footer"/>
      <w:pBdr>
        <w:top w:val="single" w:color="425364" w:themeColor="text1" w:sz="6" w:space="1"/>
      </w:pBdr>
      <w:spacing w:before="240"/>
      <w:rPr>
        <w:rStyle w:val="WatsonTextinFooter"/>
      </w:rPr>
    </w:pPr>
  </w:p>
  <w:p w:rsidRPr="00B705A3" w:rsidR="002B5311" w:rsidP="00090548" w:rsidRDefault="002B5311" w14:paraId="7B57FC6D"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rsidRPr="00183C15" w:rsidR="002B5311" w:rsidP="00090548" w:rsidRDefault="002B5311" w14:paraId="797BD954" w14:textId="7FB819BE">
    <w:pPr>
      <w:pStyle w:val="Footer"/>
      <w:pBdr>
        <w:top w:val="single" w:color="425364" w:themeColor="text1" w:sz="6" w:space="1"/>
      </w:pBdr>
      <w:rPr>
        <w:sz w:val="12"/>
        <w:szCs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183C15" w:rsidRDefault="002B5311" w14:paraId="4042CBE3" w14:textId="77777777">
    <w:pPr>
      <w:pStyle w:val="Footer"/>
      <w:spacing w:before="240" w:after="600"/>
      <w:rPr>
        <w:rStyle w:val="WatsonTextinFoote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31F19" w:rsidR="00E97CDA" w:rsidP="00931F19" w:rsidRDefault="00E97CDA" w14:paraId="1B071732"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311" w:rsidP="00FE1C0D" w:rsidRDefault="002B5311" w14:paraId="3CF0354F" w14:textId="77777777">
    <w:pPr>
      <w:pStyle w:val="Footer"/>
      <w:pBdr>
        <w:top w:val="single" w:color="425364" w:themeColor="text1" w:sz="6" w:space="1"/>
      </w:pBdr>
      <w:spacing w:before="240"/>
      <w:rPr>
        <w:rStyle w:val="WatsonTextinFooter"/>
      </w:rPr>
    </w:pPr>
  </w:p>
  <w:p w:rsidRPr="00B705A3" w:rsidR="002B5311" w:rsidP="00B7405C" w:rsidRDefault="002B5311" w14:paraId="6639FD13" w14:textId="77777777">
    <w:pPr>
      <w:pStyle w:val="Footer"/>
      <w:pBdr>
        <w:top w:val="single" w:color="425364" w:themeColor="text1" w:sz="6" w:space="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p>
  <w:p w:rsidRPr="00097E35" w:rsidR="002B5311" w:rsidP="00B7405C" w:rsidRDefault="002B5311" w14:paraId="59AEB8E3" w14:textId="6415D433">
    <w:pPr>
      <w:pStyle w:val="Footer"/>
      <w:pBdr>
        <w:top w:val="single" w:color="425364" w:themeColor="text1" w:sz="6" w:space="1"/>
      </w:pBdr>
      <w:rPr>
        <w:sz w:val="12"/>
        <w:szCs w:val="12"/>
      </w:rPr>
    </w:pPr>
    <w:r w:rsidRPr="00097E35">
      <w:rPr>
        <w:sz w:val="12"/>
        <w:szCs w:val="12"/>
      </w:rPr>
      <w:fldChar w:fldCharType="begin"/>
    </w:r>
    <w:r w:rsidRPr="00097E35">
      <w:rPr>
        <w:sz w:val="12"/>
        <w:szCs w:val="12"/>
      </w:rPr>
      <w:instrText xml:space="preserve"> FILENAME  \p  \* MERGEFORMAT </w:instrText>
    </w:r>
    <w:r w:rsidRPr="00097E35">
      <w:rPr>
        <w:sz w:val="12"/>
        <w:szCs w:val="12"/>
      </w:rPr>
      <w:fldChar w:fldCharType="separate"/>
    </w:r>
    <w:r w:rsidR="005C29E7">
      <w:rPr>
        <w:noProof/>
        <w:sz w:val="12"/>
        <w:szCs w:val="12"/>
      </w:rPr>
      <w:t>https://watsonecon.sharepoint.com/sites/Cambridge-2025D.C.BackgroundStudyUpdateandBy-law-ParksRecreation/Shared Documents/Report/City of Cambridge DC Update Study - Final.docx</w:t>
    </w:r>
    <w:r w:rsidRPr="00097E35">
      <w:rPr>
        <w:sz w:val="12"/>
        <w:szCs w:val="1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F19" w:rsidP="00E97CDA" w:rsidRDefault="00931F19" w14:paraId="51B2295B" w14:textId="77777777">
    <w:pPr>
      <w:pStyle w:val="Footer"/>
      <w:pBdr>
        <w:top w:val="single" w:color="425364" w:themeColor="text1" w:sz="6" w:space="1"/>
      </w:pBdr>
      <w:spacing w:before="240"/>
      <w:rPr>
        <w:rStyle w:val="WatsonTextinFooter"/>
      </w:rPr>
    </w:pPr>
  </w:p>
  <w:p w:rsidRPr="00B60190" w:rsidR="00931F19" w:rsidP="00B60190" w:rsidRDefault="00931F19" w14:paraId="24A899E3" w14:textId="2C9CBA95">
    <w:pPr>
      <w:pStyle w:val="Footer"/>
      <w:pBdr>
        <w:top w:val="single" w:color="425364" w:themeColor="text1" w:sz="6" w:space="1"/>
      </w:pBdr>
      <w:spacing w:before="120"/>
      <w:rPr>
        <w:sz w:val="20"/>
        <w:lang w:val="en-CA"/>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alignment="righ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2731" w:rsidP="00427ADB" w:rsidRDefault="000C2731" w14:paraId="2E79CFF2" w14:textId="77777777">
      <w:r>
        <w:separator/>
      </w:r>
    </w:p>
  </w:footnote>
  <w:footnote w:type="continuationSeparator" w:id="0">
    <w:p w:rsidR="000C2731" w:rsidP="00427ADB" w:rsidRDefault="000C2731" w14:paraId="1F56355C" w14:textId="77777777">
      <w:r>
        <w:continuationSeparator/>
      </w:r>
    </w:p>
  </w:footnote>
  <w:footnote w:id="1">
    <w:p w:rsidR="00FD2D31" w:rsidRDefault="00FD2D31" w14:paraId="4CD298D8" w14:textId="29152B53">
      <w:pPr>
        <w:pStyle w:val="FootnoteText"/>
      </w:pPr>
      <w:r>
        <w:rPr>
          <w:rStyle w:val="FootnoteReference"/>
        </w:rPr>
        <w:footnoteRef/>
      </w:r>
      <w:r>
        <w:t xml:space="preserve"> The D.C. by-laws were amended </w:t>
      </w:r>
      <w:r w:rsidR="0026605B">
        <w:t xml:space="preserve">to align with the </w:t>
      </w:r>
      <w:r w:rsidR="00856F7A">
        <w:t xml:space="preserve">legislative changes to the </w:t>
      </w:r>
      <w:r w:rsidR="0026605B">
        <w:t>D.C.A.</w:t>
      </w:r>
      <w:r w:rsidR="00856F7A">
        <w:t>,</w:t>
      </w:r>
      <w:r w:rsidR="0026605B">
        <w:t xml:space="preserve"> as amended by Bill 185 (i.e.</w:t>
      </w:r>
      <w:r w:rsidR="00856F7A">
        <w:t xml:space="preserve"> addition of growth studies as an eligible capital cost and removal of mandatory phase-in of charges). </w:t>
      </w:r>
    </w:p>
  </w:footnote>
  <w:footnote w:id="2">
    <w:p w:rsidRPr="00116537" w:rsidR="00B167B1" w:rsidP="00B167B1" w:rsidRDefault="00B167B1" w14:paraId="4BB9E639" w14:textId="77777777">
      <w:pPr>
        <w:pStyle w:val="FootnoteText"/>
      </w:pPr>
      <w:r w:rsidRPr="00116537">
        <w:rPr>
          <w:rStyle w:val="FootnoteReference"/>
        </w:rPr>
        <w:footnoteRef/>
      </w:r>
      <w:r w:rsidRPr="00116537">
        <w:t xml:space="preserve"> All D.C. eligible services except water, wastewater, stormwater, and transit services.</w:t>
      </w:r>
    </w:p>
  </w:footnote>
  <w:footnote w:id="3">
    <w:p w:rsidR="00B167B1" w:rsidP="00B167B1" w:rsidRDefault="00B167B1" w14:paraId="35C1E6C9" w14:textId="4BB7994F">
      <w:pPr>
        <w:pStyle w:val="FootnoteText"/>
      </w:pPr>
      <w:r w:rsidRPr="00116537">
        <w:rPr>
          <w:rStyle w:val="FootnoteReference"/>
        </w:rPr>
        <w:footnoteRef/>
      </w:r>
      <w:r w:rsidRPr="00116537">
        <w:t xml:space="preserve"> Section 7 of the D.C.A. states that a class of service may be established for the purposes of a D.C. by-law that is a combination of D.C. eligible services or a subset of a D.C. eligible service.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mc:Ignorable="w14 w15 w16se w16cid w16 w16cex w16sdtdh w16sdtfl w16du wp14">
  <w:p w:rsidR="002B5311" w:rsidP="0042576A" w:rsidRDefault="005B11E1" w14:paraId="63CF12D4" w14:textId="3F271D89">
    <w:pPr>
      <w:pStyle w:val="Header"/>
      <w:jc w:val="center"/>
    </w:pPr>
    <w:r w:rsidRPr="009108B8">
      <w:rPr>
        <w:noProof/>
      </w:rPr>
      <w:drawing>
        <wp:inline distT="0" distB="0" distL="0" distR="0" wp14:anchorId="5AA4E24A" wp14:editId="582D4158">
          <wp:extent cx="7772400" cy="3192145"/>
          <wp:effectExtent l="0" t="0" r="0" b="8255"/>
          <wp:docPr id="1352386955" name="Picture 1352386955">
            <a:extLst xmlns:a="http://schemas.openxmlformats.org/drawingml/2006/main">
              <a:ext uri="{FF2B5EF4-FFF2-40B4-BE49-F238E27FC236}">
                <a16:creationId xmlns:a16="http://schemas.microsoft.com/office/drawing/2014/main" id="{8E83D803-43C4-4DAD-A5A5-4540F965EBC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a:extLst>
                      <a:ext uri="{FF2B5EF4-FFF2-40B4-BE49-F238E27FC236}">
                        <a16:creationId xmlns:a16="http://schemas.microsoft.com/office/drawing/2014/main" id="{8E83D803-43C4-4DAD-A5A5-4540F965EBCC}"/>
                      </a:ex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857" b="12509"/>
                  <a:stretch/>
                </pic:blipFill>
                <pic:spPr bwMode="auto">
                  <a:xfrm>
                    <a:off x="0" y="0"/>
                    <a:ext cx="7772400" cy="3192145"/>
                  </a:xfrm>
                  <a:prstGeom prst="rect">
                    <a:avLst/>
                  </a:prstGeom>
                  <a:noFill/>
                  <a:ln>
                    <a:noFill/>
                  </a:ln>
                  <a:effectLst/>
                  <a:extLst>
                    <a:ext uri="{53640926-AAD7-44D8-BBD7-CCE9431645EC}">
                      <a14:shadowObscured xmlns:a14="http://schemas.microsoft.com/office/drawing/2010/main"/>
                    </a:ext>
                  </a:ex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A31F5" w:rsidP="001A31F5" w:rsidRDefault="001A31F5" w14:paraId="22A90286" w14:textId="77777777">
    <w:pPr>
      <w:pStyle w:val="Header"/>
      <w:spacing w:after="240"/>
    </w:pPr>
    <w:r>
      <w:rPr>
        <w:noProof/>
      </w:rPr>
      <w:drawing>
        <wp:inline distT="0" distB="0" distL="0" distR="0" wp14:anchorId="543FBF9B" wp14:editId="2CA68277">
          <wp:extent cx="685800" cy="686831"/>
          <wp:effectExtent l="0" t="0" r="0" b="0"/>
          <wp:docPr id="24" name="Picture 24"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2428C" w:rsidR="002B5311" w:rsidP="00E41201" w:rsidRDefault="002B5311" w14:paraId="28354D9B" w14:textId="77777777">
    <w:pPr>
      <w:pStyle w:val="Header"/>
      <w:spacing w:after="240"/>
    </w:pPr>
    <w:r>
      <w:rPr>
        <w:noProof/>
      </w:rPr>
      <w:drawing>
        <wp:inline distT="0" distB="0" distL="0" distR="0" wp14:anchorId="0AE7CAF4" wp14:editId="79619D32">
          <wp:extent cx="685800" cy="686831"/>
          <wp:effectExtent l="0" t="0" r="0" b="0"/>
          <wp:docPr id="458" name="Picture 458"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B5311" w:rsidP="00E41201" w:rsidRDefault="002B5311" w14:paraId="5289B1FD" w14:textId="77777777">
    <w:pPr>
      <w:pStyle w:val="Header"/>
      <w:spacing w:after="240"/>
    </w:pPr>
    <w:r>
      <w:rPr>
        <w:noProof/>
      </w:rPr>
      <w:drawing>
        <wp:inline distT="0" distB="0" distL="0" distR="0" wp14:anchorId="30D88DF6" wp14:editId="7ECAE783">
          <wp:extent cx="685800" cy="686831"/>
          <wp:effectExtent l="0" t="0" r="0" b="0"/>
          <wp:docPr id="719794970" name="Picture 719794970"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B5311" w:rsidP="00E41201" w:rsidRDefault="002B5311" w14:paraId="71941B62" w14:textId="77777777">
    <w:pPr>
      <w:pStyle w:val="Header"/>
      <w:spacing w:after="240"/>
    </w:pPr>
    <w:r>
      <w:rPr>
        <w:noProof/>
      </w:rPr>
      <w:drawing>
        <wp:inline distT="0" distB="0" distL="0" distR="0" wp14:anchorId="492081ED" wp14:editId="7F254C51">
          <wp:extent cx="685800" cy="686831"/>
          <wp:effectExtent l="0" t="0" r="0" b="0"/>
          <wp:docPr id="462" name="Picture 462"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2B5311" w:rsidP="0096612E" w:rsidRDefault="002B5311" w14:paraId="36F48587" w14:textId="77777777">
    <w:pPr>
      <w:pStyle w:val="Header"/>
      <w:spacing w:after="960"/>
    </w:pPr>
    <w:r>
      <w:rPr>
        <w:noProof/>
      </w:rPr>
      <w:drawing>
        <wp:inline distT="0" distB="0" distL="0" distR="0" wp14:anchorId="54EDBCDB" wp14:editId="3F72FA18">
          <wp:extent cx="7772068" cy="2447925"/>
          <wp:effectExtent l="0" t="0" r="635" b="0"/>
          <wp:docPr id="8" name="Picture 8"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 1.png"/>
                  <pic:cNvPicPr/>
                </pic:nvPicPr>
                <pic:blipFill rotWithShape="1">
                  <a:blip r:embed="rId1"/>
                  <a:srcRect b="17540"/>
                  <a:stretch/>
                </pic:blipFill>
                <pic:spPr bwMode="auto">
                  <a:xfrm>
                    <a:off x="0" y="0"/>
                    <a:ext cx="7772400" cy="24480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1A31F5" w:rsidP="001A31F5" w:rsidRDefault="001A31F5" w14:paraId="30FEDED2" w14:textId="77777777">
    <w:pPr>
      <w:pStyle w:val="Header"/>
      <w:spacing w:after="960"/>
    </w:pPr>
    <w:r>
      <w:rPr>
        <w:noProof/>
      </w:rPr>
      <w:drawing>
        <wp:inline distT="0" distB="0" distL="0" distR="0" wp14:anchorId="38F15112" wp14:editId="1CBFFE07">
          <wp:extent cx="7772068" cy="2447925"/>
          <wp:effectExtent l="0" t="0" r="635" b="0"/>
          <wp:docPr id="28" name="Picture 28"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 1.png"/>
                  <pic:cNvPicPr/>
                </pic:nvPicPr>
                <pic:blipFill rotWithShape="1">
                  <a:blip r:embed="rId1"/>
                  <a:srcRect b="17540"/>
                  <a:stretch/>
                </pic:blipFill>
                <pic:spPr bwMode="auto">
                  <a:xfrm>
                    <a:off x="0" y="0"/>
                    <a:ext cx="7772400" cy="24480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B5311" w:rsidP="001F2BE2" w:rsidRDefault="002B5311" w14:paraId="62856A03" w14:textId="77777777">
    <w:pPr>
      <w:pStyle w:val="Header"/>
      <w:spacing w:after="240"/>
    </w:pPr>
    <w:r>
      <w:rPr>
        <w:noProof/>
      </w:rPr>
      <w:drawing>
        <wp:inline distT="0" distB="0" distL="0" distR="0" wp14:anchorId="0C8107E5" wp14:editId="4D189C41">
          <wp:extent cx="685800" cy="686831"/>
          <wp:effectExtent l="0" t="0" r="0" b="0"/>
          <wp:docPr id="466" name="Picture 466"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1A31F5" w:rsidP="002B5311" w:rsidRDefault="001A31F5" w14:paraId="07824B90" w14:textId="77777777">
    <w:pPr>
      <w:pStyle w:val="Header"/>
      <w:spacing w:after="240"/>
    </w:pPr>
    <w:r>
      <w:rPr>
        <w:noProof/>
      </w:rPr>
      <w:drawing>
        <wp:inline distT="0" distB="0" distL="0" distR="0" wp14:anchorId="442F4F11" wp14:editId="65F916C4">
          <wp:extent cx="685800" cy="686831"/>
          <wp:effectExtent l="0" t="0" r="0" b="0"/>
          <wp:docPr id="25" name="Picture 25"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B6286" w:rsidP="001F2BE2" w:rsidRDefault="00AB6286" w14:paraId="69E1F5CB" w14:textId="77777777">
    <w:pPr>
      <w:pStyle w:val="Header"/>
      <w:spacing w:after="240"/>
    </w:pPr>
    <w:r>
      <w:rPr>
        <w:noProof/>
      </w:rPr>
      <w:drawing>
        <wp:inline distT="0" distB="0" distL="0" distR="0" wp14:anchorId="77537C94" wp14:editId="58DF248A">
          <wp:extent cx="685800" cy="686831"/>
          <wp:effectExtent l="0" t="0" r="0" b="0"/>
          <wp:docPr id="722387017" name="Picture 722387017"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B6286" w:rsidRDefault="00AB6286" w14:paraId="11234142" w14:textId="77777777">
    <w:pPr>
      <w:pStyle w:val="Header"/>
      <w:spacing w:after="240"/>
    </w:pPr>
    <w:r>
      <w:rPr>
        <w:noProof/>
      </w:rPr>
      <w:drawing>
        <wp:inline distT="0" distB="0" distL="0" distR="0" wp14:anchorId="038995D5" wp14:editId="5045BBBC">
          <wp:extent cx="685800" cy="686831"/>
          <wp:effectExtent l="0" t="0" r="0" b="0"/>
          <wp:docPr id="600749776" name="Picture 600749776"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B5311" w:rsidRDefault="002B5311" w14:paraId="68768EDD" w14:textId="77777777">
    <w:pPr>
      <w:pStyle w:val="Header"/>
    </w:pPr>
    <w:r w:rsidRPr="00795D75">
      <w:rPr>
        <w:noProof/>
      </w:rPr>
      <w:drawing>
        <wp:inline distT="0" distB="0" distL="0" distR="0" wp14:anchorId="1EBD37EF" wp14:editId="5C179E05">
          <wp:extent cx="7773627" cy="2414016"/>
          <wp:effectExtent l="0" t="0" r="0" b="0"/>
          <wp:docPr id="980958685" name="Picture 980958685" descr="Dot graphic for header" title="Do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773627" cy="24140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74968" w:rsidR="002B5311" w:rsidP="000362A5" w:rsidRDefault="002B5311" w14:paraId="4C074D38" w14:textId="77777777">
    <w:pPr>
      <w:pStyle w:val="TOCHeading"/>
      <w:tabs>
        <w:tab w:val="left" w:pos="8280"/>
      </w:tabs>
      <w:spacing w:before="240"/>
      <w:rPr>
        <w:noProof/>
      </w:rPr>
    </w:pPr>
    <w:r w:rsidRPr="00174968">
      <w:rPr>
        <w:noProof/>
      </w:rPr>
      <w:t>Table of Contents</w:t>
    </w:r>
    <w:r>
      <w:rPr>
        <w:noProof/>
      </w:rPr>
      <w:t xml:space="preserve"> </w:t>
    </w:r>
    <w:r w:rsidRPr="00D713A0">
      <w:rPr>
        <w:noProof/>
        <w:sz w:val="28"/>
        <w:szCs w:val="28"/>
      </w:rPr>
      <w:t>(Cont’d)</w:t>
    </w:r>
    <w:r>
      <w:rPr>
        <w:noProof/>
        <w:sz w:val="28"/>
        <w:szCs w:val="28"/>
      </w:rPr>
      <w:tab/>
    </w:r>
    <w:r>
      <w:rPr>
        <w:noProof/>
      </w:rPr>
      <w:drawing>
        <wp:inline distT="0" distB="0" distL="0" distR="0" wp14:anchorId="111609A0" wp14:editId="157BF081">
          <wp:extent cx="685800" cy="686831"/>
          <wp:effectExtent l="0" t="0" r="0" b="0"/>
          <wp:docPr id="1" name="Picture 1"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p w:rsidR="002B5311" w:rsidP="0077610F" w:rsidRDefault="002B5311" w14:paraId="4F2A34DC" w14:textId="77777777">
    <w:pPr>
      <w:spacing w:after="240"/>
      <w:jc w:val="right"/>
    </w:pPr>
    <w:r w:rsidRPr="004A167A">
      <w:t>Page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2B5311" w:rsidR="002B5311" w:rsidP="00D27BBC" w:rsidRDefault="001A31F5" w14:paraId="6BB0570B" w14:textId="77777777">
    <w:pPr>
      <w:pStyle w:val="Header"/>
      <w:spacing w:after="240"/>
      <w:ind w:left="-1440" w:right="-1440"/>
    </w:pPr>
    <w:r w:rsidRPr="00795D75">
      <w:rPr>
        <w:noProof/>
      </w:rPr>
      <w:drawing>
        <wp:inline distT="0" distB="0" distL="0" distR="0" wp14:anchorId="4EC6533D" wp14:editId="297424DA">
          <wp:extent cx="7772400" cy="2413635"/>
          <wp:effectExtent l="0" t="0" r="0" b="0"/>
          <wp:docPr id="30" name="Picture 30" descr="Dot graphic for header" title="Do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772400" cy="241363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A31F5" w:rsidR="002B5311" w:rsidP="001A31F5" w:rsidRDefault="001A31F5" w14:paraId="1C8CA270" w14:textId="77777777">
    <w:pPr>
      <w:pStyle w:val="TOCHeading"/>
      <w:tabs>
        <w:tab w:val="left" w:pos="7893"/>
      </w:tabs>
      <w:spacing w:before="240"/>
      <w:rPr>
        <w:noProof/>
        <w:sz w:val="24"/>
        <w:szCs w:val="24"/>
      </w:rPr>
    </w:pPr>
    <w:r w:rsidRPr="008608C7">
      <w:rPr>
        <w:rStyle w:val="MinorTitleChar"/>
        <w:rFonts w:eastAsiaTheme="minorHAnsi"/>
      </w:rPr>
      <w:t>List of Acronyms and Abbreviations</w:t>
    </w:r>
    <w:r>
      <w:rPr>
        <w:noProof/>
      </w:rPr>
      <w:t xml:space="preserve"> </w:t>
    </w:r>
    <w:r w:rsidRPr="008608C7">
      <w:rPr>
        <w:noProof/>
        <w:sz w:val="22"/>
        <w:szCs w:val="22"/>
      </w:rPr>
      <w:t>(Cont’d)</w:t>
    </w:r>
    <w:r>
      <w:rPr>
        <w:noProof/>
        <w:sz w:val="28"/>
        <w:szCs w:val="28"/>
      </w:rPr>
      <w:tab/>
    </w:r>
    <w:r>
      <w:rPr>
        <w:noProof/>
      </w:rPr>
      <w:drawing>
        <wp:inline distT="0" distB="0" distL="0" distR="0" wp14:anchorId="67B682EE" wp14:editId="5FC9C617">
          <wp:extent cx="685800" cy="686831"/>
          <wp:effectExtent l="0" t="0" r="0" b="0"/>
          <wp:docPr id="27" name="Picture 27"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B5311" w:rsidP="00097E35" w:rsidRDefault="002B5311" w14:paraId="7112CEA1" w14:textId="77777777">
    <w:pPr>
      <w:pStyle w:val="Header"/>
      <w:spacing w:after="240"/>
      <w:ind w:left="-1440"/>
      <w:jc w:val="left"/>
    </w:pPr>
    <w:r w:rsidRPr="00795D75">
      <w:rPr>
        <w:noProof/>
      </w:rPr>
      <w:drawing>
        <wp:inline distT="0" distB="0" distL="0" distR="0" wp14:anchorId="5AC15431" wp14:editId="45C7D4F6">
          <wp:extent cx="7772400" cy="2414016"/>
          <wp:effectExtent l="0" t="0" r="0" b="0"/>
          <wp:docPr id="7" name="Picture 7" descr="Dot graphic for header" title="Do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772400" cy="2414016"/>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2B5311" w:rsidP="0096612E" w:rsidRDefault="002B5311" w14:paraId="251D1A55" w14:textId="77777777">
    <w:pPr>
      <w:pStyle w:val="Header"/>
      <w:spacing w:after="960"/>
    </w:pPr>
    <w:r>
      <w:rPr>
        <w:noProof/>
      </w:rPr>
      <w:drawing>
        <wp:inline distT="0" distB="0" distL="0" distR="0" wp14:anchorId="3F7C4682" wp14:editId="1DA9B25C">
          <wp:extent cx="7772068" cy="2447925"/>
          <wp:effectExtent l="0" t="0" r="635" b="0"/>
          <wp:docPr id="5" name="Picture 5"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 1.png"/>
                  <pic:cNvPicPr/>
                </pic:nvPicPr>
                <pic:blipFill rotWithShape="1">
                  <a:blip r:embed="rId1"/>
                  <a:srcRect b="17540"/>
                  <a:stretch/>
                </pic:blipFill>
                <pic:spPr bwMode="auto">
                  <a:xfrm>
                    <a:off x="0" y="0"/>
                    <a:ext cx="7772400" cy="24480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2B5311" w:rsidP="002B5311" w:rsidRDefault="002B5311" w14:paraId="273BA3D7" w14:textId="77777777">
    <w:pPr>
      <w:pStyle w:val="Header"/>
      <w:spacing w:after="960"/>
    </w:pPr>
    <w:r>
      <w:rPr>
        <w:noProof/>
      </w:rPr>
      <w:drawing>
        <wp:inline distT="0" distB="0" distL="0" distR="0" wp14:anchorId="122C31B1" wp14:editId="447B049B">
          <wp:extent cx="7772068" cy="2447925"/>
          <wp:effectExtent l="0" t="0" r="635" b="0"/>
          <wp:docPr id="11" name="Picture 11"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 1.png"/>
                  <pic:cNvPicPr/>
                </pic:nvPicPr>
                <pic:blipFill rotWithShape="1">
                  <a:blip r:embed="rId1"/>
                  <a:srcRect b="17540"/>
                  <a:stretch/>
                </pic:blipFill>
                <pic:spPr bwMode="auto">
                  <a:xfrm>
                    <a:off x="0" y="0"/>
                    <a:ext cx="7772400" cy="24480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B5311" w:rsidP="001F2BE2" w:rsidRDefault="002B5311" w14:paraId="0FC8B02F" w14:textId="77777777">
    <w:pPr>
      <w:pStyle w:val="Header"/>
      <w:spacing w:after="240"/>
    </w:pPr>
    <w:r>
      <w:rPr>
        <w:noProof/>
      </w:rPr>
      <w:drawing>
        <wp:inline distT="0" distB="0" distL="0" distR="0" wp14:anchorId="3E6C75B7" wp14:editId="61ECCB4A">
          <wp:extent cx="685800" cy="686831"/>
          <wp:effectExtent l="0" t="0" r="0" b="0"/>
          <wp:docPr id="456" name="Picture 456"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89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C15462"/>
    <w:multiLevelType w:val="hybridMultilevel"/>
    <w:tmpl w:val="DBA04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C2EEC"/>
    <w:multiLevelType w:val="hybridMultilevel"/>
    <w:tmpl w:val="E96C5C06"/>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687938"/>
    <w:multiLevelType w:val="multilevel"/>
    <w:tmpl w:val="CD20EABE"/>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C8E622B"/>
    <w:multiLevelType w:val="hybridMultilevel"/>
    <w:tmpl w:val="27BC9F3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0EB4443B"/>
    <w:multiLevelType w:val="hybridMultilevel"/>
    <w:tmpl w:val="7B9EB9BA"/>
    <w:lvl w:ilvl="0" w:tplc="52609064">
      <w:start w:val="1"/>
      <w:numFmt w:val="bullet"/>
      <w:pStyle w:val="BodyTextbullets125"/>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45B0BA3"/>
    <w:multiLevelType w:val="multilevel"/>
    <w:tmpl w:val="3A36B078"/>
    <w:lvl w:ilvl="0">
      <w:start w:val="1"/>
      <w:numFmt w:val="decimal"/>
      <w:lvlText w:val="%1."/>
      <w:lvlJc w:val="left"/>
      <w:pPr>
        <w:ind w:left="744" w:hanging="744"/>
      </w:pPr>
      <w:rPr>
        <w:rFonts w:hint="default"/>
      </w:rPr>
    </w:lvl>
    <w:lvl w:ilvl="1">
      <w:start w:val="12"/>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7D3622"/>
    <w:multiLevelType w:val="hybridMultilevel"/>
    <w:tmpl w:val="F65A7CC6"/>
    <w:lvl w:ilvl="0" w:tplc="DAE6231A">
      <w:start w:val="1"/>
      <w:numFmt w:val="lowerLetter"/>
      <w:lvlText w:val="(%1)"/>
      <w:lvlJc w:val="left"/>
      <w:pPr>
        <w:ind w:left="720" w:hanging="360"/>
      </w:pPr>
      <w:rPr>
        <w:rFonts w:hint="default" w:ascii="Arial" w:hAnsi="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CA1C79"/>
    <w:multiLevelType w:val="hybridMultilevel"/>
    <w:tmpl w:val="056ECE8C"/>
    <w:lvl w:ilvl="0" w:tplc="7190FF88">
      <w:start w:val="1"/>
      <w:numFmt w:val="decimal"/>
      <w:lvlText w:val="%1."/>
      <w:lvlJc w:val="left"/>
      <w:pPr>
        <w:ind w:left="1020" w:hanging="360"/>
      </w:pPr>
    </w:lvl>
    <w:lvl w:ilvl="1" w:tplc="B4CC8296">
      <w:start w:val="1"/>
      <w:numFmt w:val="decimal"/>
      <w:lvlText w:val="%2."/>
      <w:lvlJc w:val="left"/>
      <w:pPr>
        <w:ind w:left="1020" w:hanging="360"/>
      </w:pPr>
    </w:lvl>
    <w:lvl w:ilvl="2" w:tplc="1406B2DE">
      <w:start w:val="1"/>
      <w:numFmt w:val="decimal"/>
      <w:lvlText w:val="%3."/>
      <w:lvlJc w:val="left"/>
      <w:pPr>
        <w:ind w:left="1020" w:hanging="360"/>
      </w:pPr>
    </w:lvl>
    <w:lvl w:ilvl="3" w:tplc="923476B4">
      <w:start w:val="1"/>
      <w:numFmt w:val="decimal"/>
      <w:lvlText w:val="%4."/>
      <w:lvlJc w:val="left"/>
      <w:pPr>
        <w:ind w:left="1020" w:hanging="360"/>
      </w:pPr>
    </w:lvl>
    <w:lvl w:ilvl="4" w:tplc="769E30C8">
      <w:start w:val="1"/>
      <w:numFmt w:val="decimal"/>
      <w:lvlText w:val="%5."/>
      <w:lvlJc w:val="left"/>
      <w:pPr>
        <w:ind w:left="1020" w:hanging="360"/>
      </w:pPr>
    </w:lvl>
    <w:lvl w:ilvl="5" w:tplc="B148B644">
      <w:start w:val="1"/>
      <w:numFmt w:val="decimal"/>
      <w:lvlText w:val="%6."/>
      <w:lvlJc w:val="left"/>
      <w:pPr>
        <w:ind w:left="1020" w:hanging="360"/>
      </w:pPr>
    </w:lvl>
    <w:lvl w:ilvl="6" w:tplc="C17659D4">
      <w:start w:val="1"/>
      <w:numFmt w:val="decimal"/>
      <w:lvlText w:val="%7."/>
      <w:lvlJc w:val="left"/>
      <w:pPr>
        <w:ind w:left="1020" w:hanging="360"/>
      </w:pPr>
    </w:lvl>
    <w:lvl w:ilvl="7" w:tplc="80BC1A14">
      <w:start w:val="1"/>
      <w:numFmt w:val="decimal"/>
      <w:lvlText w:val="%8."/>
      <w:lvlJc w:val="left"/>
      <w:pPr>
        <w:ind w:left="1020" w:hanging="360"/>
      </w:pPr>
    </w:lvl>
    <w:lvl w:ilvl="8" w:tplc="E9D40F4A">
      <w:start w:val="1"/>
      <w:numFmt w:val="decimal"/>
      <w:lvlText w:val="%9."/>
      <w:lvlJc w:val="left"/>
      <w:pPr>
        <w:ind w:left="1020" w:hanging="360"/>
      </w:pPr>
    </w:lvl>
  </w:abstractNum>
  <w:abstractNum w:abstractNumId="9" w15:restartNumberingAfterBreak="0">
    <w:nsid w:val="1E9E4381"/>
    <w:multiLevelType w:val="hybridMultilevel"/>
    <w:tmpl w:val="B7A264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F50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D3F14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BD1F84"/>
    <w:multiLevelType w:val="hybridMultilevel"/>
    <w:tmpl w:val="61E86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25C91"/>
    <w:multiLevelType w:val="hybridMultilevel"/>
    <w:tmpl w:val="BEBCA906"/>
    <w:lvl w:ilvl="0" w:tplc="10090001">
      <w:start w:val="1"/>
      <w:numFmt w:val="bullet"/>
      <w:lvlText w:val=""/>
      <w:lvlJc w:val="left"/>
      <w:pPr>
        <w:ind w:left="872" w:hanging="360"/>
      </w:pPr>
      <w:rPr>
        <w:rFonts w:hint="default" w:ascii="Symbol" w:hAnsi="Symbol"/>
      </w:rPr>
    </w:lvl>
    <w:lvl w:ilvl="1" w:tplc="10090003">
      <w:start w:val="1"/>
      <w:numFmt w:val="bullet"/>
      <w:lvlText w:val="o"/>
      <w:lvlJc w:val="left"/>
      <w:pPr>
        <w:ind w:left="1592" w:hanging="360"/>
      </w:pPr>
      <w:rPr>
        <w:rFonts w:hint="default" w:ascii="Courier New" w:hAnsi="Courier New" w:cs="Courier New"/>
      </w:rPr>
    </w:lvl>
    <w:lvl w:ilvl="2" w:tplc="10090005" w:tentative="1">
      <w:start w:val="1"/>
      <w:numFmt w:val="bullet"/>
      <w:lvlText w:val=""/>
      <w:lvlJc w:val="left"/>
      <w:pPr>
        <w:ind w:left="2312" w:hanging="360"/>
      </w:pPr>
      <w:rPr>
        <w:rFonts w:hint="default" w:ascii="Wingdings" w:hAnsi="Wingdings"/>
      </w:rPr>
    </w:lvl>
    <w:lvl w:ilvl="3" w:tplc="10090001" w:tentative="1">
      <w:start w:val="1"/>
      <w:numFmt w:val="bullet"/>
      <w:lvlText w:val=""/>
      <w:lvlJc w:val="left"/>
      <w:pPr>
        <w:ind w:left="3032" w:hanging="360"/>
      </w:pPr>
      <w:rPr>
        <w:rFonts w:hint="default" w:ascii="Symbol" w:hAnsi="Symbol"/>
      </w:rPr>
    </w:lvl>
    <w:lvl w:ilvl="4" w:tplc="10090003" w:tentative="1">
      <w:start w:val="1"/>
      <w:numFmt w:val="bullet"/>
      <w:lvlText w:val="o"/>
      <w:lvlJc w:val="left"/>
      <w:pPr>
        <w:ind w:left="3752" w:hanging="360"/>
      </w:pPr>
      <w:rPr>
        <w:rFonts w:hint="default" w:ascii="Courier New" w:hAnsi="Courier New" w:cs="Courier New"/>
      </w:rPr>
    </w:lvl>
    <w:lvl w:ilvl="5" w:tplc="10090005" w:tentative="1">
      <w:start w:val="1"/>
      <w:numFmt w:val="bullet"/>
      <w:lvlText w:val=""/>
      <w:lvlJc w:val="left"/>
      <w:pPr>
        <w:ind w:left="4472" w:hanging="360"/>
      </w:pPr>
      <w:rPr>
        <w:rFonts w:hint="default" w:ascii="Wingdings" w:hAnsi="Wingdings"/>
      </w:rPr>
    </w:lvl>
    <w:lvl w:ilvl="6" w:tplc="10090001" w:tentative="1">
      <w:start w:val="1"/>
      <w:numFmt w:val="bullet"/>
      <w:lvlText w:val=""/>
      <w:lvlJc w:val="left"/>
      <w:pPr>
        <w:ind w:left="5192" w:hanging="360"/>
      </w:pPr>
      <w:rPr>
        <w:rFonts w:hint="default" w:ascii="Symbol" w:hAnsi="Symbol"/>
      </w:rPr>
    </w:lvl>
    <w:lvl w:ilvl="7" w:tplc="10090003" w:tentative="1">
      <w:start w:val="1"/>
      <w:numFmt w:val="bullet"/>
      <w:lvlText w:val="o"/>
      <w:lvlJc w:val="left"/>
      <w:pPr>
        <w:ind w:left="5912" w:hanging="360"/>
      </w:pPr>
      <w:rPr>
        <w:rFonts w:hint="default" w:ascii="Courier New" w:hAnsi="Courier New" w:cs="Courier New"/>
      </w:rPr>
    </w:lvl>
    <w:lvl w:ilvl="8" w:tplc="10090005" w:tentative="1">
      <w:start w:val="1"/>
      <w:numFmt w:val="bullet"/>
      <w:lvlText w:val=""/>
      <w:lvlJc w:val="left"/>
      <w:pPr>
        <w:ind w:left="6632" w:hanging="360"/>
      </w:pPr>
      <w:rPr>
        <w:rFonts w:hint="default" w:ascii="Wingdings" w:hAnsi="Wingdings"/>
      </w:rPr>
    </w:lvl>
  </w:abstractNum>
  <w:abstractNum w:abstractNumId="14" w15:restartNumberingAfterBreak="0">
    <w:nsid w:val="3B310FC9"/>
    <w:multiLevelType w:val="hybridMultilevel"/>
    <w:tmpl w:val="16983714"/>
    <w:lvl w:ilvl="0" w:tplc="52609064">
      <w:start w:val="1"/>
      <w:numFmt w:val="bullet"/>
      <w:lvlText w:val=""/>
      <w:lvlJc w:val="left"/>
      <w:pPr>
        <w:ind w:left="720" w:hanging="360"/>
      </w:pPr>
      <w:rPr>
        <w:rFonts w:hint="default" w:ascii="Symbol" w:hAnsi="Symbol"/>
      </w:rPr>
    </w:lvl>
    <w:lvl w:ilvl="1" w:tplc="10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hint="default" w:ascii="Wingdings" w:hAnsi="Wingdings"/>
      </w:rPr>
    </w:lvl>
    <w:lvl w:ilvl="3" w:tplc="7E587686">
      <w:start w:val="1"/>
      <w:numFmt w:val="lowerRoman"/>
      <w:lvlText w:val="(%4)"/>
      <w:lvlJc w:val="left"/>
      <w:pPr>
        <w:ind w:left="3240" w:hanging="720"/>
      </w:pPr>
      <w:rPr>
        <w:rFonts w:hint="default"/>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0BA5E6A"/>
    <w:multiLevelType w:val="hybridMultilevel"/>
    <w:tmpl w:val="A04854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29D4BC1"/>
    <w:multiLevelType w:val="hybridMultilevel"/>
    <w:tmpl w:val="B88C85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BF3DF7"/>
    <w:multiLevelType w:val="hybridMultilevel"/>
    <w:tmpl w:val="8DCAF536"/>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E1151B"/>
    <w:multiLevelType w:val="hybridMultilevel"/>
    <w:tmpl w:val="D1621198"/>
    <w:lvl w:ilvl="0" w:tplc="4D529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C526D2"/>
    <w:multiLevelType w:val="hybridMultilevel"/>
    <w:tmpl w:val="F07ED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BF68A9"/>
    <w:multiLevelType w:val="hybridMultilevel"/>
    <w:tmpl w:val="5A222A6C"/>
    <w:lvl w:ilvl="0" w:tplc="DAE6231A">
      <w:start w:val="1"/>
      <w:numFmt w:val="lowerLetter"/>
      <w:lvlText w:val="(%1)"/>
      <w:lvlJc w:val="left"/>
      <w:pPr>
        <w:ind w:left="720" w:hanging="360"/>
      </w:pPr>
      <w:rPr>
        <w:rFonts w:hint="default" w:ascii="Arial" w:hAnsi="Arial"/>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F9597C"/>
    <w:multiLevelType w:val="hybridMultilevel"/>
    <w:tmpl w:val="5A361D84"/>
    <w:lvl w:ilvl="0" w:tplc="DAE6231A">
      <w:start w:val="1"/>
      <w:numFmt w:val="lowerLetter"/>
      <w:lvlText w:val="(%1)"/>
      <w:lvlJc w:val="left"/>
      <w:pPr>
        <w:ind w:left="720" w:hanging="360"/>
      </w:pPr>
      <w:rPr>
        <w:rFonts w:hint="default" w:ascii="Arial" w:hAnsi="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F06943"/>
    <w:multiLevelType w:val="hybridMultilevel"/>
    <w:tmpl w:val="81CE24BA"/>
    <w:lvl w:ilvl="0" w:tplc="7ED67770">
      <w:start w:val="1"/>
      <w:numFmt w:val="upperLetter"/>
      <w:pStyle w:val="ListParagraph"/>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8D77C4E"/>
    <w:multiLevelType w:val="hybridMultilevel"/>
    <w:tmpl w:val="15720F6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23A22E7"/>
    <w:multiLevelType w:val="hybridMultilevel"/>
    <w:tmpl w:val="3EA484FE"/>
    <w:lvl w:ilvl="0" w:tplc="DAE6231A">
      <w:start w:val="1"/>
      <w:numFmt w:val="lowerLetter"/>
      <w:lvlText w:val="(%1)"/>
      <w:lvlJc w:val="left"/>
      <w:pPr>
        <w:ind w:left="720" w:hanging="360"/>
      </w:pPr>
      <w:rPr>
        <w:rFonts w:hint="default" w:ascii="Arial" w:hAnsi="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509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8990EF4"/>
    <w:multiLevelType w:val="hybridMultilevel"/>
    <w:tmpl w:val="F552E7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D15712"/>
    <w:multiLevelType w:val="hybridMultilevel"/>
    <w:tmpl w:val="7D4EBF9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8A7501"/>
    <w:multiLevelType w:val="hybridMultilevel"/>
    <w:tmpl w:val="DF7ADE46"/>
    <w:lvl w:ilvl="0" w:tplc="A59280C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5244911"/>
    <w:multiLevelType w:val="multilevel"/>
    <w:tmpl w:val="58FE7692"/>
    <w:lvl w:ilvl="0">
      <w:start w:val="1"/>
      <w:numFmt w:val="decimal"/>
      <w:lvlText w:val="%1."/>
      <w:lvlJc w:val="left"/>
      <w:pPr>
        <w:ind w:left="720" w:hanging="360"/>
      </w:pPr>
      <w:rPr>
        <w:rFonts w:hint="default"/>
      </w:rPr>
    </w:lvl>
    <w:lvl w:ilvl="1">
      <w:start w:val="2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53D66E8"/>
    <w:multiLevelType w:val="hybridMultilevel"/>
    <w:tmpl w:val="550070A0"/>
    <w:lvl w:ilvl="0" w:tplc="FFFFFFFF">
      <w:start w:val="1"/>
      <w:numFmt w:val="lowerLetter"/>
      <w:lvlText w:val="%1)"/>
      <w:lvlJc w:val="left"/>
      <w:pPr>
        <w:ind w:left="720" w:hanging="360"/>
      </w:pPr>
    </w:lvl>
    <w:lvl w:ilvl="1" w:tplc="04090001">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C662E01"/>
    <w:multiLevelType w:val="hybridMultilevel"/>
    <w:tmpl w:val="1E8EAA16"/>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1736977219">
    <w:abstractNumId w:val="5"/>
  </w:num>
  <w:num w:numId="2" w16cid:durableId="2055110024">
    <w:abstractNumId w:val="22"/>
  </w:num>
  <w:num w:numId="3" w16cid:durableId="1333989788">
    <w:abstractNumId w:val="3"/>
  </w:num>
  <w:num w:numId="4" w16cid:durableId="761998510">
    <w:abstractNumId w:val="3"/>
  </w:num>
  <w:num w:numId="5" w16cid:durableId="9493139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7237037">
    <w:abstractNumId w:val="1"/>
  </w:num>
  <w:num w:numId="7" w16cid:durableId="812794305">
    <w:abstractNumId w:val="19"/>
  </w:num>
  <w:num w:numId="8" w16cid:durableId="1524710600">
    <w:abstractNumId w:val="15"/>
  </w:num>
  <w:num w:numId="9" w16cid:durableId="1542745018">
    <w:abstractNumId w:val="14"/>
  </w:num>
  <w:num w:numId="10" w16cid:durableId="565336866">
    <w:abstractNumId w:val="23"/>
  </w:num>
  <w:num w:numId="11" w16cid:durableId="1728184707">
    <w:abstractNumId w:val="18"/>
  </w:num>
  <w:num w:numId="12" w16cid:durableId="1121265111">
    <w:abstractNumId w:val="30"/>
  </w:num>
  <w:num w:numId="13" w16cid:durableId="1094980263">
    <w:abstractNumId w:val="9"/>
  </w:num>
  <w:num w:numId="14" w16cid:durableId="585648371">
    <w:abstractNumId w:val="27"/>
  </w:num>
  <w:num w:numId="15" w16cid:durableId="1911309187">
    <w:abstractNumId w:val="13"/>
  </w:num>
  <w:num w:numId="16" w16cid:durableId="163017052">
    <w:abstractNumId w:val="17"/>
  </w:num>
  <w:num w:numId="17" w16cid:durableId="930355534">
    <w:abstractNumId w:val="6"/>
  </w:num>
  <w:num w:numId="18" w16cid:durableId="689985724">
    <w:abstractNumId w:val="31"/>
  </w:num>
  <w:num w:numId="19" w16cid:durableId="1250697447">
    <w:abstractNumId w:val="29"/>
  </w:num>
  <w:num w:numId="20" w16cid:durableId="1188981316">
    <w:abstractNumId w:val="2"/>
  </w:num>
  <w:num w:numId="21" w16cid:durableId="1735815888">
    <w:abstractNumId w:val="8"/>
  </w:num>
  <w:num w:numId="22" w16cid:durableId="1917863892">
    <w:abstractNumId w:val="7"/>
  </w:num>
  <w:num w:numId="23" w16cid:durableId="47775897">
    <w:abstractNumId w:val="24"/>
  </w:num>
  <w:num w:numId="24" w16cid:durableId="136268344">
    <w:abstractNumId w:val="21"/>
  </w:num>
  <w:num w:numId="25" w16cid:durableId="1744255277">
    <w:abstractNumId w:val="20"/>
  </w:num>
  <w:num w:numId="26" w16cid:durableId="1448770832">
    <w:abstractNumId w:val="10"/>
  </w:num>
  <w:num w:numId="27" w16cid:durableId="1836415323">
    <w:abstractNumId w:val="25"/>
  </w:num>
  <w:num w:numId="28" w16cid:durableId="693266856">
    <w:abstractNumId w:val="11"/>
  </w:num>
  <w:num w:numId="29" w16cid:durableId="156381343">
    <w:abstractNumId w:val="0"/>
  </w:num>
  <w:num w:numId="30" w16cid:durableId="634992686">
    <w:abstractNumId w:val="5"/>
  </w:num>
  <w:num w:numId="31" w16cid:durableId="1749115930">
    <w:abstractNumId w:val="16"/>
  </w:num>
  <w:num w:numId="32" w16cid:durableId="1700472791">
    <w:abstractNumId w:val="26"/>
  </w:num>
  <w:num w:numId="33" w16cid:durableId="1231228635">
    <w:abstractNumId w:val="4"/>
  </w:num>
  <w:num w:numId="34" w16cid:durableId="1113668917">
    <w:abstractNumId w:val="28"/>
  </w:num>
  <w:num w:numId="35" w16cid:durableId="827015253">
    <w:abstractNumId w:val="12"/>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efaultTabStop w:val="360"/>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FE4"/>
    <w:rsid w:val="00000BC1"/>
    <w:rsid w:val="00001D72"/>
    <w:rsid w:val="00002B38"/>
    <w:rsid w:val="000058C4"/>
    <w:rsid w:val="00006A67"/>
    <w:rsid w:val="00006EDC"/>
    <w:rsid w:val="00006F0D"/>
    <w:rsid w:val="00007B3D"/>
    <w:rsid w:val="0001089E"/>
    <w:rsid w:val="00011077"/>
    <w:rsid w:val="00014B09"/>
    <w:rsid w:val="0001583A"/>
    <w:rsid w:val="00015FB3"/>
    <w:rsid w:val="000173E4"/>
    <w:rsid w:val="000201ED"/>
    <w:rsid w:val="0002294E"/>
    <w:rsid w:val="000244E4"/>
    <w:rsid w:val="000253D6"/>
    <w:rsid w:val="000304D5"/>
    <w:rsid w:val="0003116F"/>
    <w:rsid w:val="000332C5"/>
    <w:rsid w:val="0003370D"/>
    <w:rsid w:val="00034F5C"/>
    <w:rsid w:val="000351B9"/>
    <w:rsid w:val="0003554E"/>
    <w:rsid w:val="00036273"/>
    <w:rsid w:val="000362A5"/>
    <w:rsid w:val="00040130"/>
    <w:rsid w:val="000410D6"/>
    <w:rsid w:val="00042461"/>
    <w:rsid w:val="00043963"/>
    <w:rsid w:val="000439A8"/>
    <w:rsid w:val="00043A82"/>
    <w:rsid w:val="00043FAE"/>
    <w:rsid w:val="0004539A"/>
    <w:rsid w:val="00046F58"/>
    <w:rsid w:val="0005026C"/>
    <w:rsid w:val="00050317"/>
    <w:rsid w:val="000522C2"/>
    <w:rsid w:val="00054FAC"/>
    <w:rsid w:val="00064C03"/>
    <w:rsid w:val="00066031"/>
    <w:rsid w:val="00070888"/>
    <w:rsid w:val="00071777"/>
    <w:rsid w:val="00071CE5"/>
    <w:rsid w:val="00072861"/>
    <w:rsid w:val="0007331B"/>
    <w:rsid w:val="0007373A"/>
    <w:rsid w:val="00075CFB"/>
    <w:rsid w:val="0007683B"/>
    <w:rsid w:val="0007750C"/>
    <w:rsid w:val="00077584"/>
    <w:rsid w:val="000776CE"/>
    <w:rsid w:val="00080BF4"/>
    <w:rsid w:val="0008218E"/>
    <w:rsid w:val="000826C7"/>
    <w:rsid w:val="00083E34"/>
    <w:rsid w:val="00085E10"/>
    <w:rsid w:val="00086BE2"/>
    <w:rsid w:val="00086D6F"/>
    <w:rsid w:val="00090504"/>
    <w:rsid w:val="00090548"/>
    <w:rsid w:val="00090DC5"/>
    <w:rsid w:val="00091A11"/>
    <w:rsid w:val="00093B3F"/>
    <w:rsid w:val="00094D9C"/>
    <w:rsid w:val="00095400"/>
    <w:rsid w:val="00095772"/>
    <w:rsid w:val="00095A9D"/>
    <w:rsid w:val="000963D8"/>
    <w:rsid w:val="0009769E"/>
    <w:rsid w:val="000977F9"/>
    <w:rsid w:val="00097E35"/>
    <w:rsid w:val="000A0CE8"/>
    <w:rsid w:val="000A25F5"/>
    <w:rsid w:val="000A2636"/>
    <w:rsid w:val="000A742A"/>
    <w:rsid w:val="000B0B9C"/>
    <w:rsid w:val="000B3561"/>
    <w:rsid w:val="000B736A"/>
    <w:rsid w:val="000B7D2B"/>
    <w:rsid w:val="000C0ACD"/>
    <w:rsid w:val="000C1512"/>
    <w:rsid w:val="000C1BAC"/>
    <w:rsid w:val="000C2556"/>
    <w:rsid w:val="000C2731"/>
    <w:rsid w:val="000C3FFA"/>
    <w:rsid w:val="000C4C93"/>
    <w:rsid w:val="000C4E4F"/>
    <w:rsid w:val="000D0238"/>
    <w:rsid w:val="000D1424"/>
    <w:rsid w:val="000D5B5F"/>
    <w:rsid w:val="000D6C17"/>
    <w:rsid w:val="000D7428"/>
    <w:rsid w:val="000D7616"/>
    <w:rsid w:val="000E0FFC"/>
    <w:rsid w:val="000E26BC"/>
    <w:rsid w:val="000E2F1F"/>
    <w:rsid w:val="000E5E7C"/>
    <w:rsid w:val="000E692B"/>
    <w:rsid w:val="000E6B10"/>
    <w:rsid w:val="000E71F8"/>
    <w:rsid w:val="000E72A3"/>
    <w:rsid w:val="000F00DA"/>
    <w:rsid w:val="000F1697"/>
    <w:rsid w:val="000F187D"/>
    <w:rsid w:val="000F48E6"/>
    <w:rsid w:val="000F55FD"/>
    <w:rsid w:val="000F575B"/>
    <w:rsid w:val="000F658A"/>
    <w:rsid w:val="00104209"/>
    <w:rsid w:val="001046B2"/>
    <w:rsid w:val="001074B7"/>
    <w:rsid w:val="001104F4"/>
    <w:rsid w:val="0011055C"/>
    <w:rsid w:val="00111780"/>
    <w:rsid w:val="00111F23"/>
    <w:rsid w:val="0011213B"/>
    <w:rsid w:val="001143A1"/>
    <w:rsid w:val="001201BF"/>
    <w:rsid w:val="001202FC"/>
    <w:rsid w:val="001209B3"/>
    <w:rsid w:val="00120D82"/>
    <w:rsid w:val="001213AE"/>
    <w:rsid w:val="00123B22"/>
    <w:rsid w:val="001272F9"/>
    <w:rsid w:val="0013457A"/>
    <w:rsid w:val="00134D7B"/>
    <w:rsid w:val="001350F1"/>
    <w:rsid w:val="001355DB"/>
    <w:rsid w:val="001357B2"/>
    <w:rsid w:val="001365C8"/>
    <w:rsid w:val="001367AC"/>
    <w:rsid w:val="0014059B"/>
    <w:rsid w:val="00140985"/>
    <w:rsid w:val="001418CB"/>
    <w:rsid w:val="0014346A"/>
    <w:rsid w:val="00143AA0"/>
    <w:rsid w:val="00144E26"/>
    <w:rsid w:val="00147B48"/>
    <w:rsid w:val="00147F00"/>
    <w:rsid w:val="00150640"/>
    <w:rsid w:val="0015322B"/>
    <w:rsid w:val="00156085"/>
    <w:rsid w:val="00157231"/>
    <w:rsid w:val="00162D9F"/>
    <w:rsid w:val="00167872"/>
    <w:rsid w:val="00170073"/>
    <w:rsid w:val="00170E3D"/>
    <w:rsid w:val="0017327C"/>
    <w:rsid w:val="00174968"/>
    <w:rsid w:val="001752E9"/>
    <w:rsid w:val="00175340"/>
    <w:rsid w:val="00177E09"/>
    <w:rsid w:val="001804C5"/>
    <w:rsid w:val="00180733"/>
    <w:rsid w:val="00181CFD"/>
    <w:rsid w:val="001824B1"/>
    <w:rsid w:val="0018287F"/>
    <w:rsid w:val="001837FB"/>
    <w:rsid w:val="00183C15"/>
    <w:rsid w:val="00184FA7"/>
    <w:rsid w:val="001900C8"/>
    <w:rsid w:val="001911D3"/>
    <w:rsid w:val="001938A4"/>
    <w:rsid w:val="00194B3A"/>
    <w:rsid w:val="00197A40"/>
    <w:rsid w:val="001A16F9"/>
    <w:rsid w:val="001A172C"/>
    <w:rsid w:val="001A29AA"/>
    <w:rsid w:val="001A31F5"/>
    <w:rsid w:val="001A374E"/>
    <w:rsid w:val="001A46FF"/>
    <w:rsid w:val="001A5F79"/>
    <w:rsid w:val="001B0137"/>
    <w:rsid w:val="001B02B7"/>
    <w:rsid w:val="001B2957"/>
    <w:rsid w:val="001B33F1"/>
    <w:rsid w:val="001B443D"/>
    <w:rsid w:val="001B635D"/>
    <w:rsid w:val="001B7E8F"/>
    <w:rsid w:val="001C002E"/>
    <w:rsid w:val="001C037C"/>
    <w:rsid w:val="001C1FD1"/>
    <w:rsid w:val="001C20DB"/>
    <w:rsid w:val="001C3C65"/>
    <w:rsid w:val="001C599F"/>
    <w:rsid w:val="001C6561"/>
    <w:rsid w:val="001D22C0"/>
    <w:rsid w:val="001D35DD"/>
    <w:rsid w:val="001D4887"/>
    <w:rsid w:val="001D4E3B"/>
    <w:rsid w:val="001D78DB"/>
    <w:rsid w:val="001E1597"/>
    <w:rsid w:val="001E6D20"/>
    <w:rsid w:val="001E7030"/>
    <w:rsid w:val="001F2BE2"/>
    <w:rsid w:val="001F66ED"/>
    <w:rsid w:val="002037EB"/>
    <w:rsid w:val="00204CA1"/>
    <w:rsid w:val="00205AAF"/>
    <w:rsid w:val="00205C0A"/>
    <w:rsid w:val="00210EC6"/>
    <w:rsid w:val="0021136D"/>
    <w:rsid w:val="0021146D"/>
    <w:rsid w:val="0021369D"/>
    <w:rsid w:val="002164A1"/>
    <w:rsid w:val="002233C1"/>
    <w:rsid w:val="002259D7"/>
    <w:rsid w:val="002277E3"/>
    <w:rsid w:val="00227E1A"/>
    <w:rsid w:val="002302B4"/>
    <w:rsid w:val="00234399"/>
    <w:rsid w:val="0023583C"/>
    <w:rsid w:val="00240AD5"/>
    <w:rsid w:val="00240FBF"/>
    <w:rsid w:val="00242AE2"/>
    <w:rsid w:val="00243AF5"/>
    <w:rsid w:val="00244154"/>
    <w:rsid w:val="002472EA"/>
    <w:rsid w:val="0025091A"/>
    <w:rsid w:val="00253C88"/>
    <w:rsid w:val="002542EF"/>
    <w:rsid w:val="00254ED0"/>
    <w:rsid w:val="00257871"/>
    <w:rsid w:val="00261B6A"/>
    <w:rsid w:val="00261E32"/>
    <w:rsid w:val="00261F8C"/>
    <w:rsid w:val="002622F2"/>
    <w:rsid w:val="00262DFD"/>
    <w:rsid w:val="00264417"/>
    <w:rsid w:val="00265EC7"/>
    <w:rsid w:val="0026605B"/>
    <w:rsid w:val="00267B1F"/>
    <w:rsid w:val="00271B9E"/>
    <w:rsid w:val="00276B62"/>
    <w:rsid w:val="00282C62"/>
    <w:rsid w:val="0028451E"/>
    <w:rsid w:val="00285911"/>
    <w:rsid w:val="00286927"/>
    <w:rsid w:val="0029003D"/>
    <w:rsid w:val="00294E19"/>
    <w:rsid w:val="00297FDB"/>
    <w:rsid w:val="002A0630"/>
    <w:rsid w:val="002A7092"/>
    <w:rsid w:val="002A7743"/>
    <w:rsid w:val="002B16AC"/>
    <w:rsid w:val="002B5311"/>
    <w:rsid w:val="002B5384"/>
    <w:rsid w:val="002B600B"/>
    <w:rsid w:val="002C09E8"/>
    <w:rsid w:val="002C36FB"/>
    <w:rsid w:val="002C394A"/>
    <w:rsid w:val="002C658C"/>
    <w:rsid w:val="002C7897"/>
    <w:rsid w:val="002C7F94"/>
    <w:rsid w:val="002D337C"/>
    <w:rsid w:val="002D6613"/>
    <w:rsid w:val="002D7C8C"/>
    <w:rsid w:val="002D7E57"/>
    <w:rsid w:val="002E2F9B"/>
    <w:rsid w:val="002E3628"/>
    <w:rsid w:val="002E37FC"/>
    <w:rsid w:val="002E4402"/>
    <w:rsid w:val="002E5B9E"/>
    <w:rsid w:val="002E6C18"/>
    <w:rsid w:val="002E6CD7"/>
    <w:rsid w:val="002F1A7D"/>
    <w:rsid w:val="002F43A5"/>
    <w:rsid w:val="002F6B7B"/>
    <w:rsid w:val="002F6ED8"/>
    <w:rsid w:val="002F7E12"/>
    <w:rsid w:val="00301D38"/>
    <w:rsid w:val="0030221C"/>
    <w:rsid w:val="00302C73"/>
    <w:rsid w:val="00304F66"/>
    <w:rsid w:val="00311656"/>
    <w:rsid w:val="00312225"/>
    <w:rsid w:val="003178A2"/>
    <w:rsid w:val="00320C05"/>
    <w:rsid w:val="00321373"/>
    <w:rsid w:val="0032448E"/>
    <w:rsid w:val="0032679C"/>
    <w:rsid w:val="00330192"/>
    <w:rsid w:val="003304DB"/>
    <w:rsid w:val="003307F4"/>
    <w:rsid w:val="0033223C"/>
    <w:rsid w:val="00332852"/>
    <w:rsid w:val="00332A76"/>
    <w:rsid w:val="00332D9E"/>
    <w:rsid w:val="00335FDE"/>
    <w:rsid w:val="00337C7E"/>
    <w:rsid w:val="003425B6"/>
    <w:rsid w:val="0034508B"/>
    <w:rsid w:val="00345A0E"/>
    <w:rsid w:val="003467BE"/>
    <w:rsid w:val="00351BC9"/>
    <w:rsid w:val="00352376"/>
    <w:rsid w:val="00353059"/>
    <w:rsid w:val="00353491"/>
    <w:rsid w:val="00354D3B"/>
    <w:rsid w:val="00357AA9"/>
    <w:rsid w:val="00360EA2"/>
    <w:rsid w:val="003613D4"/>
    <w:rsid w:val="003614D1"/>
    <w:rsid w:val="00363064"/>
    <w:rsid w:val="0036436D"/>
    <w:rsid w:val="00365BA1"/>
    <w:rsid w:val="00365DF2"/>
    <w:rsid w:val="00366C27"/>
    <w:rsid w:val="003704F6"/>
    <w:rsid w:val="003728BC"/>
    <w:rsid w:val="00372946"/>
    <w:rsid w:val="00372AFD"/>
    <w:rsid w:val="00373E05"/>
    <w:rsid w:val="00375BE9"/>
    <w:rsid w:val="003908D7"/>
    <w:rsid w:val="00391158"/>
    <w:rsid w:val="003930AA"/>
    <w:rsid w:val="00393B44"/>
    <w:rsid w:val="0039492D"/>
    <w:rsid w:val="003A086A"/>
    <w:rsid w:val="003A1CB6"/>
    <w:rsid w:val="003A29B5"/>
    <w:rsid w:val="003A37FC"/>
    <w:rsid w:val="003A3D35"/>
    <w:rsid w:val="003A5716"/>
    <w:rsid w:val="003A629E"/>
    <w:rsid w:val="003A6585"/>
    <w:rsid w:val="003A6906"/>
    <w:rsid w:val="003B0CCE"/>
    <w:rsid w:val="003B2672"/>
    <w:rsid w:val="003B5C94"/>
    <w:rsid w:val="003B5F5E"/>
    <w:rsid w:val="003C1E55"/>
    <w:rsid w:val="003C43B9"/>
    <w:rsid w:val="003C52CE"/>
    <w:rsid w:val="003C5451"/>
    <w:rsid w:val="003C54FF"/>
    <w:rsid w:val="003C5F43"/>
    <w:rsid w:val="003C6044"/>
    <w:rsid w:val="003C650E"/>
    <w:rsid w:val="003C65C1"/>
    <w:rsid w:val="003C7304"/>
    <w:rsid w:val="003D03EF"/>
    <w:rsid w:val="003D2894"/>
    <w:rsid w:val="003D2E3F"/>
    <w:rsid w:val="003D481B"/>
    <w:rsid w:val="003D4E5D"/>
    <w:rsid w:val="003D657B"/>
    <w:rsid w:val="003D724E"/>
    <w:rsid w:val="003D72F1"/>
    <w:rsid w:val="003D7B09"/>
    <w:rsid w:val="003E0ED8"/>
    <w:rsid w:val="003E1CD7"/>
    <w:rsid w:val="003E2646"/>
    <w:rsid w:val="003E278D"/>
    <w:rsid w:val="003E2D7D"/>
    <w:rsid w:val="003E3648"/>
    <w:rsid w:val="003E5AB6"/>
    <w:rsid w:val="003E66FC"/>
    <w:rsid w:val="003E68F5"/>
    <w:rsid w:val="003E77E8"/>
    <w:rsid w:val="003F09E9"/>
    <w:rsid w:val="003F2297"/>
    <w:rsid w:val="003F73A3"/>
    <w:rsid w:val="003F7F33"/>
    <w:rsid w:val="00402A8D"/>
    <w:rsid w:val="00403F84"/>
    <w:rsid w:val="00406936"/>
    <w:rsid w:val="00410AF7"/>
    <w:rsid w:val="004115B7"/>
    <w:rsid w:val="004212AF"/>
    <w:rsid w:val="004227F7"/>
    <w:rsid w:val="00423596"/>
    <w:rsid w:val="004244CF"/>
    <w:rsid w:val="00424C12"/>
    <w:rsid w:val="0042576A"/>
    <w:rsid w:val="00425D8C"/>
    <w:rsid w:val="004276DA"/>
    <w:rsid w:val="00427ADB"/>
    <w:rsid w:val="004302EA"/>
    <w:rsid w:val="00430DCA"/>
    <w:rsid w:val="0043114F"/>
    <w:rsid w:val="00431CF9"/>
    <w:rsid w:val="00433226"/>
    <w:rsid w:val="00434AAB"/>
    <w:rsid w:val="0043560D"/>
    <w:rsid w:val="004406E9"/>
    <w:rsid w:val="00441376"/>
    <w:rsid w:val="00442459"/>
    <w:rsid w:val="004427F1"/>
    <w:rsid w:val="00442A2F"/>
    <w:rsid w:val="00443CDD"/>
    <w:rsid w:val="004454E7"/>
    <w:rsid w:val="00447BE7"/>
    <w:rsid w:val="00447F4D"/>
    <w:rsid w:val="004503F6"/>
    <w:rsid w:val="004527C8"/>
    <w:rsid w:val="00453AE5"/>
    <w:rsid w:val="00454E4D"/>
    <w:rsid w:val="00462A5F"/>
    <w:rsid w:val="00462AE6"/>
    <w:rsid w:val="00463B51"/>
    <w:rsid w:val="00463DC3"/>
    <w:rsid w:val="00463EDB"/>
    <w:rsid w:val="00465FFA"/>
    <w:rsid w:val="00473917"/>
    <w:rsid w:val="00473E5D"/>
    <w:rsid w:val="00473E95"/>
    <w:rsid w:val="004744D5"/>
    <w:rsid w:val="00476B32"/>
    <w:rsid w:val="00476E5E"/>
    <w:rsid w:val="00481845"/>
    <w:rsid w:val="00482BD4"/>
    <w:rsid w:val="00483DEC"/>
    <w:rsid w:val="00491BD8"/>
    <w:rsid w:val="00493F86"/>
    <w:rsid w:val="00495CB4"/>
    <w:rsid w:val="00496375"/>
    <w:rsid w:val="004A28C2"/>
    <w:rsid w:val="004A28D9"/>
    <w:rsid w:val="004A2A51"/>
    <w:rsid w:val="004A3FD0"/>
    <w:rsid w:val="004A45F6"/>
    <w:rsid w:val="004A6ADD"/>
    <w:rsid w:val="004B0310"/>
    <w:rsid w:val="004B0479"/>
    <w:rsid w:val="004B1A04"/>
    <w:rsid w:val="004B1C2A"/>
    <w:rsid w:val="004B1D0E"/>
    <w:rsid w:val="004B2B14"/>
    <w:rsid w:val="004B390A"/>
    <w:rsid w:val="004B4087"/>
    <w:rsid w:val="004B6495"/>
    <w:rsid w:val="004B64CB"/>
    <w:rsid w:val="004B7FCD"/>
    <w:rsid w:val="004C054C"/>
    <w:rsid w:val="004C0DF8"/>
    <w:rsid w:val="004C1A10"/>
    <w:rsid w:val="004C3705"/>
    <w:rsid w:val="004C44F2"/>
    <w:rsid w:val="004C4C88"/>
    <w:rsid w:val="004C5667"/>
    <w:rsid w:val="004C5B0D"/>
    <w:rsid w:val="004C6150"/>
    <w:rsid w:val="004D19B4"/>
    <w:rsid w:val="004D3729"/>
    <w:rsid w:val="004D44E8"/>
    <w:rsid w:val="004D5394"/>
    <w:rsid w:val="004D58CA"/>
    <w:rsid w:val="004D693F"/>
    <w:rsid w:val="004E33EF"/>
    <w:rsid w:val="004E42CC"/>
    <w:rsid w:val="004E50B5"/>
    <w:rsid w:val="004E5C4E"/>
    <w:rsid w:val="004E7C3A"/>
    <w:rsid w:val="004F0AFE"/>
    <w:rsid w:val="004F173B"/>
    <w:rsid w:val="004F5350"/>
    <w:rsid w:val="004F733A"/>
    <w:rsid w:val="00504D40"/>
    <w:rsid w:val="0050650E"/>
    <w:rsid w:val="00510689"/>
    <w:rsid w:val="00511119"/>
    <w:rsid w:val="00511515"/>
    <w:rsid w:val="005153F9"/>
    <w:rsid w:val="005168AD"/>
    <w:rsid w:val="00522A3F"/>
    <w:rsid w:val="00523931"/>
    <w:rsid w:val="00523D74"/>
    <w:rsid w:val="00524134"/>
    <w:rsid w:val="00524273"/>
    <w:rsid w:val="00524BC0"/>
    <w:rsid w:val="00525338"/>
    <w:rsid w:val="0053417D"/>
    <w:rsid w:val="005346BF"/>
    <w:rsid w:val="00534A66"/>
    <w:rsid w:val="00534B47"/>
    <w:rsid w:val="005358FF"/>
    <w:rsid w:val="00536065"/>
    <w:rsid w:val="0053784F"/>
    <w:rsid w:val="00541A32"/>
    <w:rsid w:val="00544A7C"/>
    <w:rsid w:val="00547192"/>
    <w:rsid w:val="00551A91"/>
    <w:rsid w:val="0055360B"/>
    <w:rsid w:val="00554FC7"/>
    <w:rsid w:val="005571B6"/>
    <w:rsid w:val="00557F99"/>
    <w:rsid w:val="005604CE"/>
    <w:rsid w:val="00560C63"/>
    <w:rsid w:val="00560D0C"/>
    <w:rsid w:val="00560E78"/>
    <w:rsid w:val="00567341"/>
    <w:rsid w:val="00567657"/>
    <w:rsid w:val="00567764"/>
    <w:rsid w:val="00571728"/>
    <w:rsid w:val="00573AAB"/>
    <w:rsid w:val="00582BA1"/>
    <w:rsid w:val="00583F4B"/>
    <w:rsid w:val="005846F5"/>
    <w:rsid w:val="00585419"/>
    <w:rsid w:val="00585C37"/>
    <w:rsid w:val="00586DBE"/>
    <w:rsid w:val="005902A4"/>
    <w:rsid w:val="00592B9C"/>
    <w:rsid w:val="00594658"/>
    <w:rsid w:val="00596378"/>
    <w:rsid w:val="00596D3D"/>
    <w:rsid w:val="005A265D"/>
    <w:rsid w:val="005A3681"/>
    <w:rsid w:val="005A452E"/>
    <w:rsid w:val="005A4A7C"/>
    <w:rsid w:val="005A7BD3"/>
    <w:rsid w:val="005B11E1"/>
    <w:rsid w:val="005B18C2"/>
    <w:rsid w:val="005B2809"/>
    <w:rsid w:val="005B70EC"/>
    <w:rsid w:val="005C14FF"/>
    <w:rsid w:val="005C29E7"/>
    <w:rsid w:val="005C2E16"/>
    <w:rsid w:val="005C382D"/>
    <w:rsid w:val="005C5B94"/>
    <w:rsid w:val="005C60D9"/>
    <w:rsid w:val="005C6FD2"/>
    <w:rsid w:val="005D07EE"/>
    <w:rsid w:val="005D0BA1"/>
    <w:rsid w:val="005D1084"/>
    <w:rsid w:val="005D2B4F"/>
    <w:rsid w:val="005D461E"/>
    <w:rsid w:val="005D5654"/>
    <w:rsid w:val="005D58EF"/>
    <w:rsid w:val="005D7313"/>
    <w:rsid w:val="005E0EEF"/>
    <w:rsid w:val="005F0CE8"/>
    <w:rsid w:val="005F1414"/>
    <w:rsid w:val="005F1595"/>
    <w:rsid w:val="005F6704"/>
    <w:rsid w:val="005F6A82"/>
    <w:rsid w:val="005F6BA4"/>
    <w:rsid w:val="005F7389"/>
    <w:rsid w:val="005F7502"/>
    <w:rsid w:val="00600838"/>
    <w:rsid w:val="00601ADA"/>
    <w:rsid w:val="0061177D"/>
    <w:rsid w:val="00612E63"/>
    <w:rsid w:val="00614728"/>
    <w:rsid w:val="00614941"/>
    <w:rsid w:val="00614D87"/>
    <w:rsid w:val="00616C86"/>
    <w:rsid w:val="0061706B"/>
    <w:rsid w:val="00620725"/>
    <w:rsid w:val="0062148C"/>
    <w:rsid w:val="00622550"/>
    <w:rsid w:val="0062409D"/>
    <w:rsid w:val="00624712"/>
    <w:rsid w:val="006300A0"/>
    <w:rsid w:val="006319EE"/>
    <w:rsid w:val="00633DBD"/>
    <w:rsid w:val="0063538D"/>
    <w:rsid w:val="00635B90"/>
    <w:rsid w:val="006402BC"/>
    <w:rsid w:val="006404FC"/>
    <w:rsid w:val="0064232E"/>
    <w:rsid w:val="006423ED"/>
    <w:rsid w:val="00652FE4"/>
    <w:rsid w:val="006530AC"/>
    <w:rsid w:val="0065471E"/>
    <w:rsid w:val="00656256"/>
    <w:rsid w:val="00656D9F"/>
    <w:rsid w:val="0066037E"/>
    <w:rsid w:val="006605AA"/>
    <w:rsid w:val="0066239A"/>
    <w:rsid w:val="00671398"/>
    <w:rsid w:val="00671D9C"/>
    <w:rsid w:val="006736A2"/>
    <w:rsid w:val="00674587"/>
    <w:rsid w:val="00675D26"/>
    <w:rsid w:val="00677563"/>
    <w:rsid w:val="00680B07"/>
    <w:rsid w:val="00681770"/>
    <w:rsid w:val="006828A2"/>
    <w:rsid w:val="00686BB5"/>
    <w:rsid w:val="00690E46"/>
    <w:rsid w:val="00691326"/>
    <w:rsid w:val="00695E0D"/>
    <w:rsid w:val="006A0216"/>
    <w:rsid w:val="006A048C"/>
    <w:rsid w:val="006A0635"/>
    <w:rsid w:val="006A0F3B"/>
    <w:rsid w:val="006A2C83"/>
    <w:rsid w:val="006A447D"/>
    <w:rsid w:val="006A4A81"/>
    <w:rsid w:val="006A690E"/>
    <w:rsid w:val="006A7162"/>
    <w:rsid w:val="006B07C9"/>
    <w:rsid w:val="006B1F4B"/>
    <w:rsid w:val="006B24E0"/>
    <w:rsid w:val="006B36CB"/>
    <w:rsid w:val="006B5C96"/>
    <w:rsid w:val="006B6787"/>
    <w:rsid w:val="006B6D94"/>
    <w:rsid w:val="006B6ECE"/>
    <w:rsid w:val="006C0676"/>
    <w:rsid w:val="006C1673"/>
    <w:rsid w:val="006C383B"/>
    <w:rsid w:val="006C3A2A"/>
    <w:rsid w:val="006C6BE6"/>
    <w:rsid w:val="006C7920"/>
    <w:rsid w:val="006D0B02"/>
    <w:rsid w:val="006D1944"/>
    <w:rsid w:val="006D2586"/>
    <w:rsid w:val="006D3892"/>
    <w:rsid w:val="006D3C31"/>
    <w:rsid w:val="006D3F72"/>
    <w:rsid w:val="006D4BC0"/>
    <w:rsid w:val="006D526A"/>
    <w:rsid w:val="006D5D44"/>
    <w:rsid w:val="006D6498"/>
    <w:rsid w:val="006D7821"/>
    <w:rsid w:val="006E066A"/>
    <w:rsid w:val="006E367D"/>
    <w:rsid w:val="006E3CA8"/>
    <w:rsid w:val="006E3E5C"/>
    <w:rsid w:val="006E52B4"/>
    <w:rsid w:val="006E57DF"/>
    <w:rsid w:val="006E7410"/>
    <w:rsid w:val="006E788C"/>
    <w:rsid w:val="006E7CCE"/>
    <w:rsid w:val="006F0974"/>
    <w:rsid w:val="006F0D2B"/>
    <w:rsid w:val="006F1FB4"/>
    <w:rsid w:val="006F2564"/>
    <w:rsid w:val="006F58BD"/>
    <w:rsid w:val="006F6303"/>
    <w:rsid w:val="006F6C1E"/>
    <w:rsid w:val="0070054F"/>
    <w:rsid w:val="007039C7"/>
    <w:rsid w:val="007060DE"/>
    <w:rsid w:val="007072D6"/>
    <w:rsid w:val="007104F3"/>
    <w:rsid w:val="00710D4A"/>
    <w:rsid w:val="00710DFF"/>
    <w:rsid w:val="007115F2"/>
    <w:rsid w:val="00713843"/>
    <w:rsid w:val="0071436E"/>
    <w:rsid w:val="00716623"/>
    <w:rsid w:val="007166F5"/>
    <w:rsid w:val="007209E3"/>
    <w:rsid w:val="00722795"/>
    <w:rsid w:val="00726A21"/>
    <w:rsid w:val="00726C35"/>
    <w:rsid w:val="00726CE3"/>
    <w:rsid w:val="007270A7"/>
    <w:rsid w:val="00730B64"/>
    <w:rsid w:val="00731E9F"/>
    <w:rsid w:val="00734074"/>
    <w:rsid w:val="00734C0F"/>
    <w:rsid w:val="00735AE7"/>
    <w:rsid w:val="00735DD8"/>
    <w:rsid w:val="0073603B"/>
    <w:rsid w:val="00737594"/>
    <w:rsid w:val="00737658"/>
    <w:rsid w:val="00737689"/>
    <w:rsid w:val="00743B11"/>
    <w:rsid w:val="007445A6"/>
    <w:rsid w:val="00744B62"/>
    <w:rsid w:val="007468C8"/>
    <w:rsid w:val="007468E1"/>
    <w:rsid w:val="00747047"/>
    <w:rsid w:val="00750D95"/>
    <w:rsid w:val="00750DB7"/>
    <w:rsid w:val="007545AA"/>
    <w:rsid w:val="0075538A"/>
    <w:rsid w:val="00756812"/>
    <w:rsid w:val="007572A8"/>
    <w:rsid w:val="00760A95"/>
    <w:rsid w:val="00761ADE"/>
    <w:rsid w:val="007620F0"/>
    <w:rsid w:val="007624D1"/>
    <w:rsid w:val="007662C7"/>
    <w:rsid w:val="00766424"/>
    <w:rsid w:val="00766442"/>
    <w:rsid w:val="00766B39"/>
    <w:rsid w:val="0077610F"/>
    <w:rsid w:val="00776DB2"/>
    <w:rsid w:val="0077733B"/>
    <w:rsid w:val="00780E6D"/>
    <w:rsid w:val="00782435"/>
    <w:rsid w:val="00782FD4"/>
    <w:rsid w:val="007830E1"/>
    <w:rsid w:val="007859AA"/>
    <w:rsid w:val="007918A5"/>
    <w:rsid w:val="00791B50"/>
    <w:rsid w:val="00794121"/>
    <w:rsid w:val="00794401"/>
    <w:rsid w:val="00796045"/>
    <w:rsid w:val="007960E2"/>
    <w:rsid w:val="007962D3"/>
    <w:rsid w:val="007A1499"/>
    <w:rsid w:val="007A2C55"/>
    <w:rsid w:val="007A313F"/>
    <w:rsid w:val="007A7231"/>
    <w:rsid w:val="007B0A3A"/>
    <w:rsid w:val="007B30EE"/>
    <w:rsid w:val="007B6A3F"/>
    <w:rsid w:val="007B746C"/>
    <w:rsid w:val="007C1DB6"/>
    <w:rsid w:val="007C1EB8"/>
    <w:rsid w:val="007C273D"/>
    <w:rsid w:val="007C2A3D"/>
    <w:rsid w:val="007C33CE"/>
    <w:rsid w:val="007C3870"/>
    <w:rsid w:val="007C713A"/>
    <w:rsid w:val="007D0412"/>
    <w:rsid w:val="007D0633"/>
    <w:rsid w:val="007D07C1"/>
    <w:rsid w:val="007D20ED"/>
    <w:rsid w:val="007D3CE2"/>
    <w:rsid w:val="007D43BD"/>
    <w:rsid w:val="007D5E68"/>
    <w:rsid w:val="007E0D60"/>
    <w:rsid w:val="007E17E1"/>
    <w:rsid w:val="007E1D36"/>
    <w:rsid w:val="007E46FE"/>
    <w:rsid w:val="007E4E92"/>
    <w:rsid w:val="007E5379"/>
    <w:rsid w:val="007E539D"/>
    <w:rsid w:val="007E65E1"/>
    <w:rsid w:val="007E6CF5"/>
    <w:rsid w:val="007F39EC"/>
    <w:rsid w:val="007F452B"/>
    <w:rsid w:val="00803459"/>
    <w:rsid w:val="008035B1"/>
    <w:rsid w:val="00804AED"/>
    <w:rsid w:val="0080644C"/>
    <w:rsid w:val="00810A17"/>
    <w:rsid w:val="00811897"/>
    <w:rsid w:val="008135A4"/>
    <w:rsid w:val="00813CCE"/>
    <w:rsid w:val="00816069"/>
    <w:rsid w:val="00821EDC"/>
    <w:rsid w:val="00825F16"/>
    <w:rsid w:val="0082786A"/>
    <w:rsid w:val="008314DA"/>
    <w:rsid w:val="0083299A"/>
    <w:rsid w:val="00834049"/>
    <w:rsid w:val="008341C2"/>
    <w:rsid w:val="008362D4"/>
    <w:rsid w:val="0083720F"/>
    <w:rsid w:val="008428AC"/>
    <w:rsid w:val="00842DDE"/>
    <w:rsid w:val="008456A9"/>
    <w:rsid w:val="00845799"/>
    <w:rsid w:val="008459C8"/>
    <w:rsid w:val="0085072A"/>
    <w:rsid w:val="00852285"/>
    <w:rsid w:val="00855A27"/>
    <w:rsid w:val="00856F7A"/>
    <w:rsid w:val="008570B5"/>
    <w:rsid w:val="00860CC7"/>
    <w:rsid w:val="0086137C"/>
    <w:rsid w:val="00862AC9"/>
    <w:rsid w:val="008636FB"/>
    <w:rsid w:val="008641E5"/>
    <w:rsid w:val="00864269"/>
    <w:rsid w:val="008651C0"/>
    <w:rsid w:val="008654F1"/>
    <w:rsid w:val="00870E3E"/>
    <w:rsid w:val="00871369"/>
    <w:rsid w:val="00871A07"/>
    <w:rsid w:val="00871A57"/>
    <w:rsid w:val="00872A47"/>
    <w:rsid w:val="008802B3"/>
    <w:rsid w:val="00883897"/>
    <w:rsid w:val="0088594D"/>
    <w:rsid w:val="0088614D"/>
    <w:rsid w:val="00886D0F"/>
    <w:rsid w:val="00887233"/>
    <w:rsid w:val="00887C18"/>
    <w:rsid w:val="00890E96"/>
    <w:rsid w:val="00891198"/>
    <w:rsid w:val="008915CB"/>
    <w:rsid w:val="00891D87"/>
    <w:rsid w:val="00893ACC"/>
    <w:rsid w:val="00894D4C"/>
    <w:rsid w:val="008950DC"/>
    <w:rsid w:val="008A125F"/>
    <w:rsid w:val="008A28CC"/>
    <w:rsid w:val="008A3ACB"/>
    <w:rsid w:val="008A416D"/>
    <w:rsid w:val="008A4676"/>
    <w:rsid w:val="008A6971"/>
    <w:rsid w:val="008A6A20"/>
    <w:rsid w:val="008A724B"/>
    <w:rsid w:val="008B0147"/>
    <w:rsid w:val="008B0472"/>
    <w:rsid w:val="008B04C2"/>
    <w:rsid w:val="008B2DED"/>
    <w:rsid w:val="008B36CF"/>
    <w:rsid w:val="008B3935"/>
    <w:rsid w:val="008B735E"/>
    <w:rsid w:val="008C019B"/>
    <w:rsid w:val="008C06B0"/>
    <w:rsid w:val="008C4F93"/>
    <w:rsid w:val="008C5225"/>
    <w:rsid w:val="008D11E2"/>
    <w:rsid w:val="008D3E76"/>
    <w:rsid w:val="008D4436"/>
    <w:rsid w:val="008D4A5A"/>
    <w:rsid w:val="008E171A"/>
    <w:rsid w:val="008E4F70"/>
    <w:rsid w:val="008E7D80"/>
    <w:rsid w:val="008F0BAF"/>
    <w:rsid w:val="008F10F4"/>
    <w:rsid w:val="008F2324"/>
    <w:rsid w:val="008F26F9"/>
    <w:rsid w:val="008F3B8F"/>
    <w:rsid w:val="008F7E7B"/>
    <w:rsid w:val="0090170C"/>
    <w:rsid w:val="009019D8"/>
    <w:rsid w:val="009024DC"/>
    <w:rsid w:val="009027AF"/>
    <w:rsid w:val="009073EE"/>
    <w:rsid w:val="0091147A"/>
    <w:rsid w:val="00912A72"/>
    <w:rsid w:val="009131A1"/>
    <w:rsid w:val="00914A02"/>
    <w:rsid w:val="00914A90"/>
    <w:rsid w:val="0091538D"/>
    <w:rsid w:val="009163A2"/>
    <w:rsid w:val="009170EB"/>
    <w:rsid w:val="00917780"/>
    <w:rsid w:val="009212DE"/>
    <w:rsid w:val="0092405A"/>
    <w:rsid w:val="00925886"/>
    <w:rsid w:val="009277C3"/>
    <w:rsid w:val="00930A1E"/>
    <w:rsid w:val="00930E9A"/>
    <w:rsid w:val="00931F19"/>
    <w:rsid w:val="00932ACE"/>
    <w:rsid w:val="00933E30"/>
    <w:rsid w:val="00935929"/>
    <w:rsid w:val="00935F78"/>
    <w:rsid w:val="0093654A"/>
    <w:rsid w:val="00936CBC"/>
    <w:rsid w:val="00937CB6"/>
    <w:rsid w:val="009422AF"/>
    <w:rsid w:val="009428A1"/>
    <w:rsid w:val="00942E69"/>
    <w:rsid w:val="00944D9D"/>
    <w:rsid w:val="0094676F"/>
    <w:rsid w:val="00946A18"/>
    <w:rsid w:val="00950CB3"/>
    <w:rsid w:val="0095544E"/>
    <w:rsid w:val="00956DD6"/>
    <w:rsid w:val="009648EF"/>
    <w:rsid w:val="00964F32"/>
    <w:rsid w:val="0096536B"/>
    <w:rsid w:val="00965A93"/>
    <w:rsid w:val="00965F91"/>
    <w:rsid w:val="0096612E"/>
    <w:rsid w:val="0097071A"/>
    <w:rsid w:val="009736D3"/>
    <w:rsid w:val="00975116"/>
    <w:rsid w:val="009763E0"/>
    <w:rsid w:val="00976C7F"/>
    <w:rsid w:val="00976F5A"/>
    <w:rsid w:val="0098047E"/>
    <w:rsid w:val="00982EFD"/>
    <w:rsid w:val="009833E5"/>
    <w:rsid w:val="00983595"/>
    <w:rsid w:val="00985747"/>
    <w:rsid w:val="00987176"/>
    <w:rsid w:val="00987B95"/>
    <w:rsid w:val="0099299D"/>
    <w:rsid w:val="00993256"/>
    <w:rsid w:val="00995711"/>
    <w:rsid w:val="0099663E"/>
    <w:rsid w:val="009A27A3"/>
    <w:rsid w:val="009A2A9F"/>
    <w:rsid w:val="009A57E8"/>
    <w:rsid w:val="009A60F6"/>
    <w:rsid w:val="009A6418"/>
    <w:rsid w:val="009B0869"/>
    <w:rsid w:val="009B09DD"/>
    <w:rsid w:val="009B2889"/>
    <w:rsid w:val="009B41FF"/>
    <w:rsid w:val="009B47FF"/>
    <w:rsid w:val="009B5135"/>
    <w:rsid w:val="009B6C7F"/>
    <w:rsid w:val="009C01AE"/>
    <w:rsid w:val="009C21E7"/>
    <w:rsid w:val="009C53B5"/>
    <w:rsid w:val="009C56A4"/>
    <w:rsid w:val="009C5DB8"/>
    <w:rsid w:val="009C6A88"/>
    <w:rsid w:val="009C6C71"/>
    <w:rsid w:val="009C71BB"/>
    <w:rsid w:val="009D2370"/>
    <w:rsid w:val="009D69F4"/>
    <w:rsid w:val="009D767D"/>
    <w:rsid w:val="009D7B2C"/>
    <w:rsid w:val="009E272D"/>
    <w:rsid w:val="009E5F2E"/>
    <w:rsid w:val="009E5FF4"/>
    <w:rsid w:val="009F2D42"/>
    <w:rsid w:val="009F2F2C"/>
    <w:rsid w:val="009F377B"/>
    <w:rsid w:val="009F4AFC"/>
    <w:rsid w:val="009F56EE"/>
    <w:rsid w:val="009F57DC"/>
    <w:rsid w:val="009F69B4"/>
    <w:rsid w:val="009F7370"/>
    <w:rsid w:val="00A00337"/>
    <w:rsid w:val="00A03400"/>
    <w:rsid w:val="00A043B7"/>
    <w:rsid w:val="00A04E1D"/>
    <w:rsid w:val="00A056A6"/>
    <w:rsid w:val="00A069B5"/>
    <w:rsid w:val="00A07487"/>
    <w:rsid w:val="00A07913"/>
    <w:rsid w:val="00A11328"/>
    <w:rsid w:val="00A118B9"/>
    <w:rsid w:val="00A12DCD"/>
    <w:rsid w:val="00A12DD0"/>
    <w:rsid w:val="00A141A9"/>
    <w:rsid w:val="00A154A9"/>
    <w:rsid w:val="00A17035"/>
    <w:rsid w:val="00A20443"/>
    <w:rsid w:val="00A205CD"/>
    <w:rsid w:val="00A22F83"/>
    <w:rsid w:val="00A25216"/>
    <w:rsid w:val="00A25F00"/>
    <w:rsid w:val="00A2629F"/>
    <w:rsid w:val="00A267D1"/>
    <w:rsid w:val="00A2693A"/>
    <w:rsid w:val="00A34B09"/>
    <w:rsid w:val="00A363B3"/>
    <w:rsid w:val="00A403CC"/>
    <w:rsid w:val="00A40A2E"/>
    <w:rsid w:val="00A4193B"/>
    <w:rsid w:val="00A45CC3"/>
    <w:rsid w:val="00A4657E"/>
    <w:rsid w:val="00A529F7"/>
    <w:rsid w:val="00A5470E"/>
    <w:rsid w:val="00A5497C"/>
    <w:rsid w:val="00A54B82"/>
    <w:rsid w:val="00A555FE"/>
    <w:rsid w:val="00A63B3E"/>
    <w:rsid w:val="00A6605E"/>
    <w:rsid w:val="00A673D0"/>
    <w:rsid w:val="00A678E0"/>
    <w:rsid w:val="00A71C68"/>
    <w:rsid w:val="00A729FB"/>
    <w:rsid w:val="00A74FDB"/>
    <w:rsid w:val="00A802D1"/>
    <w:rsid w:val="00A8365E"/>
    <w:rsid w:val="00A83778"/>
    <w:rsid w:val="00A8515E"/>
    <w:rsid w:val="00A86298"/>
    <w:rsid w:val="00A879BF"/>
    <w:rsid w:val="00A87A99"/>
    <w:rsid w:val="00A9244C"/>
    <w:rsid w:val="00A94C9F"/>
    <w:rsid w:val="00A9509C"/>
    <w:rsid w:val="00A9626A"/>
    <w:rsid w:val="00A972A7"/>
    <w:rsid w:val="00AA4D47"/>
    <w:rsid w:val="00AA4D51"/>
    <w:rsid w:val="00AA632C"/>
    <w:rsid w:val="00AA6EC1"/>
    <w:rsid w:val="00AA6F4F"/>
    <w:rsid w:val="00AA7E0E"/>
    <w:rsid w:val="00AB0F9B"/>
    <w:rsid w:val="00AB133D"/>
    <w:rsid w:val="00AB161C"/>
    <w:rsid w:val="00AB3A9A"/>
    <w:rsid w:val="00AB5185"/>
    <w:rsid w:val="00AB6286"/>
    <w:rsid w:val="00AB6749"/>
    <w:rsid w:val="00AB7ED5"/>
    <w:rsid w:val="00AC0701"/>
    <w:rsid w:val="00AC0C87"/>
    <w:rsid w:val="00AC2ABB"/>
    <w:rsid w:val="00AC3703"/>
    <w:rsid w:val="00AC3711"/>
    <w:rsid w:val="00AC3F66"/>
    <w:rsid w:val="00AC48D0"/>
    <w:rsid w:val="00AC5D80"/>
    <w:rsid w:val="00AD4925"/>
    <w:rsid w:val="00AD591B"/>
    <w:rsid w:val="00AD616B"/>
    <w:rsid w:val="00AD6DCD"/>
    <w:rsid w:val="00AE0CC6"/>
    <w:rsid w:val="00AE3C97"/>
    <w:rsid w:val="00AE4011"/>
    <w:rsid w:val="00AE4E5C"/>
    <w:rsid w:val="00AE5A16"/>
    <w:rsid w:val="00AE7CA4"/>
    <w:rsid w:val="00AF0DF7"/>
    <w:rsid w:val="00AF48FD"/>
    <w:rsid w:val="00AF4A56"/>
    <w:rsid w:val="00AF6381"/>
    <w:rsid w:val="00AF709C"/>
    <w:rsid w:val="00B00269"/>
    <w:rsid w:val="00B00573"/>
    <w:rsid w:val="00B01ABF"/>
    <w:rsid w:val="00B0428B"/>
    <w:rsid w:val="00B04F90"/>
    <w:rsid w:val="00B10A9B"/>
    <w:rsid w:val="00B1229F"/>
    <w:rsid w:val="00B1311A"/>
    <w:rsid w:val="00B16524"/>
    <w:rsid w:val="00B167B1"/>
    <w:rsid w:val="00B16919"/>
    <w:rsid w:val="00B169EA"/>
    <w:rsid w:val="00B1719D"/>
    <w:rsid w:val="00B17808"/>
    <w:rsid w:val="00B2118F"/>
    <w:rsid w:val="00B21E4D"/>
    <w:rsid w:val="00B25631"/>
    <w:rsid w:val="00B276D9"/>
    <w:rsid w:val="00B30BB9"/>
    <w:rsid w:val="00B325E2"/>
    <w:rsid w:val="00B32CAE"/>
    <w:rsid w:val="00B34283"/>
    <w:rsid w:val="00B34288"/>
    <w:rsid w:val="00B3476E"/>
    <w:rsid w:val="00B34BDC"/>
    <w:rsid w:val="00B35FD9"/>
    <w:rsid w:val="00B40279"/>
    <w:rsid w:val="00B40C06"/>
    <w:rsid w:val="00B41F4A"/>
    <w:rsid w:val="00B43C43"/>
    <w:rsid w:val="00B4409A"/>
    <w:rsid w:val="00B471C3"/>
    <w:rsid w:val="00B47BCD"/>
    <w:rsid w:val="00B47BCF"/>
    <w:rsid w:val="00B547C3"/>
    <w:rsid w:val="00B54DDF"/>
    <w:rsid w:val="00B56585"/>
    <w:rsid w:val="00B56C57"/>
    <w:rsid w:val="00B57349"/>
    <w:rsid w:val="00B60190"/>
    <w:rsid w:val="00B613F4"/>
    <w:rsid w:val="00B62D48"/>
    <w:rsid w:val="00B63272"/>
    <w:rsid w:val="00B65ADC"/>
    <w:rsid w:val="00B6624E"/>
    <w:rsid w:val="00B67011"/>
    <w:rsid w:val="00B705A3"/>
    <w:rsid w:val="00B707D9"/>
    <w:rsid w:val="00B711AD"/>
    <w:rsid w:val="00B73020"/>
    <w:rsid w:val="00B7405C"/>
    <w:rsid w:val="00B74F67"/>
    <w:rsid w:val="00B75243"/>
    <w:rsid w:val="00B753ED"/>
    <w:rsid w:val="00B809F0"/>
    <w:rsid w:val="00B8116B"/>
    <w:rsid w:val="00B82F05"/>
    <w:rsid w:val="00B837E4"/>
    <w:rsid w:val="00B87861"/>
    <w:rsid w:val="00B87BF8"/>
    <w:rsid w:val="00B87E7E"/>
    <w:rsid w:val="00B90C12"/>
    <w:rsid w:val="00B91466"/>
    <w:rsid w:val="00B926B0"/>
    <w:rsid w:val="00B941BD"/>
    <w:rsid w:val="00B96DD6"/>
    <w:rsid w:val="00BA2370"/>
    <w:rsid w:val="00BA321A"/>
    <w:rsid w:val="00BA3FC6"/>
    <w:rsid w:val="00BA78FE"/>
    <w:rsid w:val="00BB0396"/>
    <w:rsid w:val="00BB0479"/>
    <w:rsid w:val="00BB12FE"/>
    <w:rsid w:val="00BB207A"/>
    <w:rsid w:val="00BB34C4"/>
    <w:rsid w:val="00BB372D"/>
    <w:rsid w:val="00BB49D2"/>
    <w:rsid w:val="00BB5076"/>
    <w:rsid w:val="00BC19E8"/>
    <w:rsid w:val="00BC3B86"/>
    <w:rsid w:val="00BC5270"/>
    <w:rsid w:val="00BD009D"/>
    <w:rsid w:val="00BD47E5"/>
    <w:rsid w:val="00BD4EF2"/>
    <w:rsid w:val="00BD5184"/>
    <w:rsid w:val="00BD560C"/>
    <w:rsid w:val="00BD7732"/>
    <w:rsid w:val="00BE110B"/>
    <w:rsid w:val="00BE3391"/>
    <w:rsid w:val="00BE4C86"/>
    <w:rsid w:val="00BE57B8"/>
    <w:rsid w:val="00BE5A14"/>
    <w:rsid w:val="00BE5ED7"/>
    <w:rsid w:val="00BE6B04"/>
    <w:rsid w:val="00BE779E"/>
    <w:rsid w:val="00BE7EFF"/>
    <w:rsid w:val="00BF0513"/>
    <w:rsid w:val="00BF1556"/>
    <w:rsid w:val="00BF6912"/>
    <w:rsid w:val="00BF6C0B"/>
    <w:rsid w:val="00BF79AC"/>
    <w:rsid w:val="00C02543"/>
    <w:rsid w:val="00C02883"/>
    <w:rsid w:val="00C03B0D"/>
    <w:rsid w:val="00C041FD"/>
    <w:rsid w:val="00C04613"/>
    <w:rsid w:val="00C054C1"/>
    <w:rsid w:val="00C07932"/>
    <w:rsid w:val="00C07E01"/>
    <w:rsid w:val="00C116DA"/>
    <w:rsid w:val="00C12387"/>
    <w:rsid w:val="00C135A4"/>
    <w:rsid w:val="00C14741"/>
    <w:rsid w:val="00C1502F"/>
    <w:rsid w:val="00C1506B"/>
    <w:rsid w:val="00C208D2"/>
    <w:rsid w:val="00C20B4E"/>
    <w:rsid w:val="00C2299C"/>
    <w:rsid w:val="00C229FA"/>
    <w:rsid w:val="00C235EF"/>
    <w:rsid w:val="00C23C16"/>
    <w:rsid w:val="00C2527B"/>
    <w:rsid w:val="00C3149C"/>
    <w:rsid w:val="00C322FA"/>
    <w:rsid w:val="00C32768"/>
    <w:rsid w:val="00C3786A"/>
    <w:rsid w:val="00C37C7D"/>
    <w:rsid w:val="00C4530F"/>
    <w:rsid w:val="00C4646D"/>
    <w:rsid w:val="00C46629"/>
    <w:rsid w:val="00C4680A"/>
    <w:rsid w:val="00C5173A"/>
    <w:rsid w:val="00C5361C"/>
    <w:rsid w:val="00C53EAC"/>
    <w:rsid w:val="00C554EF"/>
    <w:rsid w:val="00C56DE9"/>
    <w:rsid w:val="00C675B4"/>
    <w:rsid w:val="00C71925"/>
    <w:rsid w:val="00C71BC1"/>
    <w:rsid w:val="00C72831"/>
    <w:rsid w:val="00C74CB4"/>
    <w:rsid w:val="00C74F4D"/>
    <w:rsid w:val="00C758E9"/>
    <w:rsid w:val="00C76DAA"/>
    <w:rsid w:val="00C80247"/>
    <w:rsid w:val="00C85DFA"/>
    <w:rsid w:val="00C87A43"/>
    <w:rsid w:val="00C90251"/>
    <w:rsid w:val="00C90B6A"/>
    <w:rsid w:val="00C91F0F"/>
    <w:rsid w:val="00C937B6"/>
    <w:rsid w:val="00C938AC"/>
    <w:rsid w:val="00C93A56"/>
    <w:rsid w:val="00C93DF6"/>
    <w:rsid w:val="00C95A54"/>
    <w:rsid w:val="00C95A84"/>
    <w:rsid w:val="00C973A6"/>
    <w:rsid w:val="00CA3B10"/>
    <w:rsid w:val="00CA6E58"/>
    <w:rsid w:val="00CB0CA3"/>
    <w:rsid w:val="00CB2DB3"/>
    <w:rsid w:val="00CB68C4"/>
    <w:rsid w:val="00CC076A"/>
    <w:rsid w:val="00CC0E7B"/>
    <w:rsid w:val="00CC3381"/>
    <w:rsid w:val="00CC6FF4"/>
    <w:rsid w:val="00CC76D7"/>
    <w:rsid w:val="00CD30C0"/>
    <w:rsid w:val="00CD40DF"/>
    <w:rsid w:val="00CD4646"/>
    <w:rsid w:val="00CD6D55"/>
    <w:rsid w:val="00CE0437"/>
    <w:rsid w:val="00CE1D8C"/>
    <w:rsid w:val="00CE22AC"/>
    <w:rsid w:val="00CE4CD0"/>
    <w:rsid w:val="00CE575E"/>
    <w:rsid w:val="00CE5A73"/>
    <w:rsid w:val="00CE628F"/>
    <w:rsid w:val="00CE7914"/>
    <w:rsid w:val="00CE7C51"/>
    <w:rsid w:val="00CF1291"/>
    <w:rsid w:val="00CF1C70"/>
    <w:rsid w:val="00CF4CCB"/>
    <w:rsid w:val="00D00883"/>
    <w:rsid w:val="00D014CB"/>
    <w:rsid w:val="00D01D3C"/>
    <w:rsid w:val="00D05DC7"/>
    <w:rsid w:val="00D0617E"/>
    <w:rsid w:val="00D066BE"/>
    <w:rsid w:val="00D073F6"/>
    <w:rsid w:val="00D107E3"/>
    <w:rsid w:val="00D10ED1"/>
    <w:rsid w:val="00D1205F"/>
    <w:rsid w:val="00D13F5F"/>
    <w:rsid w:val="00D1472D"/>
    <w:rsid w:val="00D157E9"/>
    <w:rsid w:val="00D17B7C"/>
    <w:rsid w:val="00D20249"/>
    <w:rsid w:val="00D2494C"/>
    <w:rsid w:val="00D24FAE"/>
    <w:rsid w:val="00D27985"/>
    <w:rsid w:val="00D27BBC"/>
    <w:rsid w:val="00D30C6F"/>
    <w:rsid w:val="00D311B0"/>
    <w:rsid w:val="00D359B3"/>
    <w:rsid w:val="00D402CC"/>
    <w:rsid w:val="00D45083"/>
    <w:rsid w:val="00D47006"/>
    <w:rsid w:val="00D47484"/>
    <w:rsid w:val="00D5091C"/>
    <w:rsid w:val="00D51177"/>
    <w:rsid w:val="00D5200B"/>
    <w:rsid w:val="00D52442"/>
    <w:rsid w:val="00D560A4"/>
    <w:rsid w:val="00D566E6"/>
    <w:rsid w:val="00D568AF"/>
    <w:rsid w:val="00D56A16"/>
    <w:rsid w:val="00D61F31"/>
    <w:rsid w:val="00D635E0"/>
    <w:rsid w:val="00D65B57"/>
    <w:rsid w:val="00D65F05"/>
    <w:rsid w:val="00D713A0"/>
    <w:rsid w:val="00D7187B"/>
    <w:rsid w:val="00D74452"/>
    <w:rsid w:val="00D746ED"/>
    <w:rsid w:val="00D779FC"/>
    <w:rsid w:val="00D832F2"/>
    <w:rsid w:val="00D83EF8"/>
    <w:rsid w:val="00D8418B"/>
    <w:rsid w:val="00D84B81"/>
    <w:rsid w:val="00D86453"/>
    <w:rsid w:val="00D91A73"/>
    <w:rsid w:val="00D93700"/>
    <w:rsid w:val="00D93B4B"/>
    <w:rsid w:val="00D93CD1"/>
    <w:rsid w:val="00D94B06"/>
    <w:rsid w:val="00D95911"/>
    <w:rsid w:val="00D96895"/>
    <w:rsid w:val="00D9699F"/>
    <w:rsid w:val="00D969C9"/>
    <w:rsid w:val="00D96CC3"/>
    <w:rsid w:val="00D97DB4"/>
    <w:rsid w:val="00DA03F1"/>
    <w:rsid w:val="00DA0B57"/>
    <w:rsid w:val="00DA38F9"/>
    <w:rsid w:val="00DA3A9F"/>
    <w:rsid w:val="00DA4DBF"/>
    <w:rsid w:val="00DA4F8F"/>
    <w:rsid w:val="00DB1469"/>
    <w:rsid w:val="00DB16F2"/>
    <w:rsid w:val="00DB2F95"/>
    <w:rsid w:val="00DB3945"/>
    <w:rsid w:val="00DB482E"/>
    <w:rsid w:val="00DB52A6"/>
    <w:rsid w:val="00DB6C8B"/>
    <w:rsid w:val="00DB7760"/>
    <w:rsid w:val="00DC1D5A"/>
    <w:rsid w:val="00DC32DF"/>
    <w:rsid w:val="00DC4B90"/>
    <w:rsid w:val="00DC5943"/>
    <w:rsid w:val="00DC62AD"/>
    <w:rsid w:val="00DC74FB"/>
    <w:rsid w:val="00DD0293"/>
    <w:rsid w:val="00DD0EF9"/>
    <w:rsid w:val="00DD2557"/>
    <w:rsid w:val="00DD2D14"/>
    <w:rsid w:val="00DD3073"/>
    <w:rsid w:val="00DD402A"/>
    <w:rsid w:val="00DD41CD"/>
    <w:rsid w:val="00DD5EEF"/>
    <w:rsid w:val="00DE3070"/>
    <w:rsid w:val="00DE4183"/>
    <w:rsid w:val="00DE5330"/>
    <w:rsid w:val="00DE795D"/>
    <w:rsid w:val="00DF0711"/>
    <w:rsid w:val="00DF26D6"/>
    <w:rsid w:val="00DF52BF"/>
    <w:rsid w:val="00DF61E2"/>
    <w:rsid w:val="00DF754D"/>
    <w:rsid w:val="00E023D5"/>
    <w:rsid w:val="00E02638"/>
    <w:rsid w:val="00E028CD"/>
    <w:rsid w:val="00E06834"/>
    <w:rsid w:val="00E06D55"/>
    <w:rsid w:val="00E075E2"/>
    <w:rsid w:val="00E1205A"/>
    <w:rsid w:val="00E15968"/>
    <w:rsid w:val="00E167FC"/>
    <w:rsid w:val="00E17840"/>
    <w:rsid w:val="00E1787A"/>
    <w:rsid w:val="00E20CD7"/>
    <w:rsid w:val="00E21CBB"/>
    <w:rsid w:val="00E245E9"/>
    <w:rsid w:val="00E256CF"/>
    <w:rsid w:val="00E25D67"/>
    <w:rsid w:val="00E25FF9"/>
    <w:rsid w:val="00E275F5"/>
    <w:rsid w:val="00E27D37"/>
    <w:rsid w:val="00E34B65"/>
    <w:rsid w:val="00E36DE1"/>
    <w:rsid w:val="00E3712B"/>
    <w:rsid w:val="00E3772E"/>
    <w:rsid w:val="00E404C3"/>
    <w:rsid w:val="00E406D8"/>
    <w:rsid w:val="00E4106A"/>
    <w:rsid w:val="00E41201"/>
    <w:rsid w:val="00E4217E"/>
    <w:rsid w:val="00E422F8"/>
    <w:rsid w:val="00E445D3"/>
    <w:rsid w:val="00E47EBE"/>
    <w:rsid w:val="00E47F31"/>
    <w:rsid w:val="00E50CD2"/>
    <w:rsid w:val="00E51EE4"/>
    <w:rsid w:val="00E5225A"/>
    <w:rsid w:val="00E551F0"/>
    <w:rsid w:val="00E552ED"/>
    <w:rsid w:val="00E56ECD"/>
    <w:rsid w:val="00E60701"/>
    <w:rsid w:val="00E643BE"/>
    <w:rsid w:val="00E66106"/>
    <w:rsid w:val="00E6772D"/>
    <w:rsid w:val="00E730CC"/>
    <w:rsid w:val="00E75371"/>
    <w:rsid w:val="00E807DE"/>
    <w:rsid w:val="00E8173F"/>
    <w:rsid w:val="00E81CCC"/>
    <w:rsid w:val="00E83ACA"/>
    <w:rsid w:val="00E85578"/>
    <w:rsid w:val="00E90474"/>
    <w:rsid w:val="00E92111"/>
    <w:rsid w:val="00E932EB"/>
    <w:rsid w:val="00E93525"/>
    <w:rsid w:val="00E960F6"/>
    <w:rsid w:val="00E974D1"/>
    <w:rsid w:val="00E97975"/>
    <w:rsid w:val="00E97CDA"/>
    <w:rsid w:val="00EA356B"/>
    <w:rsid w:val="00EA380F"/>
    <w:rsid w:val="00EA6F46"/>
    <w:rsid w:val="00EB2262"/>
    <w:rsid w:val="00EB244F"/>
    <w:rsid w:val="00EB2DB1"/>
    <w:rsid w:val="00EB46FA"/>
    <w:rsid w:val="00EB485A"/>
    <w:rsid w:val="00EB5F4E"/>
    <w:rsid w:val="00EB71C3"/>
    <w:rsid w:val="00EC1517"/>
    <w:rsid w:val="00EC2C99"/>
    <w:rsid w:val="00EC38AA"/>
    <w:rsid w:val="00EC58B1"/>
    <w:rsid w:val="00EC6BF6"/>
    <w:rsid w:val="00EC7B41"/>
    <w:rsid w:val="00ED56D7"/>
    <w:rsid w:val="00EE1D6A"/>
    <w:rsid w:val="00EE48CF"/>
    <w:rsid w:val="00EE7CC1"/>
    <w:rsid w:val="00EF07B2"/>
    <w:rsid w:val="00EF0957"/>
    <w:rsid w:val="00EF41B3"/>
    <w:rsid w:val="00EF429C"/>
    <w:rsid w:val="00EF7257"/>
    <w:rsid w:val="00EF7993"/>
    <w:rsid w:val="00F0096B"/>
    <w:rsid w:val="00F00B7F"/>
    <w:rsid w:val="00F00F5B"/>
    <w:rsid w:val="00F011B6"/>
    <w:rsid w:val="00F12CA2"/>
    <w:rsid w:val="00F12D9E"/>
    <w:rsid w:val="00F1321A"/>
    <w:rsid w:val="00F13E0F"/>
    <w:rsid w:val="00F1508A"/>
    <w:rsid w:val="00F15471"/>
    <w:rsid w:val="00F15B88"/>
    <w:rsid w:val="00F201C5"/>
    <w:rsid w:val="00F2149E"/>
    <w:rsid w:val="00F21A09"/>
    <w:rsid w:val="00F21AFA"/>
    <w:rsid w:val="00F26E73"/>
    <w:rsid w:val="00F27643"/>
    <w:rsid w:val="00F27D91"/>
    <w:rsid w:val="00F32534"/>
    <w:rsid w:val="00F32739"/>
    <w:rsid w:val="00F35D6E"/>
    <w:rsid w:val="00F37F18"/>
    <w:rsid w:val="00F40296"/>
    <w:rsid w:val="00F40568"/>
    <w:rsid w:val="00F40C18"/>
    <w:rsid w:val="00F41A50"/>
    <w:rsid w:val="00F4240B"/>
    <w:rsid w:val="00F425E4"/>
    <w:rsid w:val="00F42FAD"/>
    <w:rsid w:val="00F44942"/>
    <w:rsid w:val="00F44AB2"/>
    <w:rsid w:val="00F45DED"/>
    <w:rsid w:val="00F47251"/>
    <w:rsid w:val="00F518ED"/>
    <w:rsid w:val="00F51BB4"/>
    <w:rsid w:val="00F552C2"/>
    <w:rsid w:val="00F556A1"/>
    <w:rsid w:val="00F56D82"/>
    <w:rsid w:val="00F57896"/>
    <w:rsid w:val="00F6040E"/>
    <w:rsid w:val="00F60EF6"/>
    <w:rsid w:val="00F62F38"/>
    <w:rsid w:val="00F634A8"/>
    <w:rsid w:val="00F72CC6"/>
    <w:rsid w:val="00F730EF"/>
    <w:rsid w:val="00F738E5"/>
    <w:rsid w:val="00F75931"/>
    <w:rsid w:val="00F75AE1"/>
    <w:rsid w:val="00F76CED"/>
    <w:rsid w:val="00F77D5F"/>
    <w:rsid w:val="00F8063F"/>
    <w:rsid w:val="00F824EC"/>
    <w:rsid w:val="00F910E0"/>
    <w:rsid w:val="00F92F4F"/>
    <w:rsid w:val="00F9569C"/>
    <w:rsid w:val="00F960C7"/>
    <w:rsid w:val="00FA326E"/>
    <w:rsid w:val="00FA343D"/>
    <w:rsid w:val="00FA471F"/>
    <w:rsid w:val="00FA48D4"/>
    <w:rsid w:val="00FA5EFE"/>
    <w:rsid w:val="00FB0EF9"/>
    <w:rsid w:val="00FB138B"/>
    <w:rsid w:val="00FB2B98"/>
    <w:rsid w:val="00FB3BCE"/>
    <w:rsid w:val="00FB402B"/>
    <w:rsid w:val="00FB4E87"/>
    <w:rsid w:val="00FB64D8"/>
    <w:rsid w:val="00FB6B3D"/>
    <w:rsid w:val="00FB6D5D"/>
    <w:rsid w:val="00FB6F73"/>
    <w:rsid w:val="00FC0B89"/>
    <w:rsid w:val="00FC5D8D"/>
    <w:rsid w:val="00FC66AA"/>
    <w:rsid w:val="00FD061A"/>
    <w:rsid w:val="00FD2166"/>
    <w:rsid w:val="00FD2A1C"/>
    <w:rsid w:val="00FD2D31"/>
    <w:rsid w:val="00FD2F95"/>
    <w:rsid w:val="00FD3110"/>
    <w:rsid w:val="00FD3780"/>
    <w:rsid w:val="00FD5528"/>
    <w:rsid w:val="00FD5BB3"/>
    <w:rsid w:val="00FD6599"/>
    <w:rsid w:val="00FD7CE9"/>
    <w:rsid w:val="00FE09F9"/>
    <w:rsid w:val="00FE0E20"/>
    <w:rsid w:val="00FE1C0D"/>
    <w:rsid w:val="00FE2548"/>
    <w:rsid w:val="00FE2C7C"/>
    <w:rsid w:val="00FE3B99"/>
    <w:rsid w:val="00FE3D51"/>
    <w:rsid w:val="00FE519A"/>
    <w:rsid w:val="00FE5CBC"/>
    <w:rsid w:val="00FE6C02"/>
    <w:rsid w:val="00FE7C03"/>
    <w:rsid w:val="00FF0740"/>
    <w:rsid w:val="00FF2303"/>
    <w:rsid w:val="00FF65E6"/>
    <w:rsid w:val="00FF7C79"/>
    <w:rsid w:val="04DE1885"/>
    <w:rsid w:val="1B110643"/>
    <w:rsid w:val="4FA7D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4B81CF"/>
  <w15:docId w15:val="{36E04EDA-3493-44B3-8E2F-E79B5388A6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cs="Arial" w:eastAsiaTheme="minorHAnsi"/>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lsdException w:name="Emphasis" w:uiPriority="20"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lsdException w:name="Intense Emphasis" w:uiPriority="21" w:semiHidden="1" w:unhideWhenUsed="1"/>
    <w:lsdException w:name="Subtle Reference" w:uiPriority="31" w:semiHidden="1" w:unhideWhenUsed="1"/>
    <w:lsdException w:name="Intense Reference" w:uiPriority="32" w:semiHidden="1" w:unhideWhenUsed="1"/>
    <w:lsdException w:name="Book Title"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4"/>
    <w:qFormat/>
    <w:rsid w:val="00886D0F"/>
  </w:style>
  <w:style w:type="paragraph" w:styleId="Heading1">
    <w:name w:val="heading 1"/>
    <w:aliases w:val="Heading 1 Chapter"/>
    <w:basedOn w:val="Normal"/>
    <w:next w:val="BodyText125"/>
    <w:link w:val="Heading1Char"/>
    <w:autoRedefine/>
    <w:qFormat/>
    <w:rsid w:val="001202FC"/>
    <w:pPr>
      <w:keepNext/>
      <w:keepLines/>
      <w:numPr>
        <w:numId w:val="4"/>
      </w:numPr>
      <w:spacing w:after="240"/>
      <w:outlineLvl w:val="0"/>
    </w:pPr>
    <w:rPr>
      <w:rFonts w:eastAsiaTheme="majorEastAsia" w:cstheme="majorBidi"/>
      <w:sz w:val="40"/>
      <w:szCs w:val="48"/>
      <w:lang w:eastAsia="ja-JP"/>
    </w:rPr>
  </w:style>
  <w:style w:type="paragraph" w:styleId="Heading2">
    <w:name w:val="heading 2"/>
    <w:aliases w:val="Heading 2 Subsection 1"/>
    <w:basedOn w:val="Normal"/>
    <w:next w:val="BodyText125"/>
    <w:link w:val="Heading2Char"/>
    <w:qFormat/>
    <w:rsid w:val="001202FC"/>
    <w:pPr>
      <w:keepNext/>
      <w:keepLines/>
      <w:numPr>
        <w:ilvl w:val="1"/>
        <w:numId w:val="4"/>
      </w:numPr>
      <w:pBdr>
        <w:bottom w:val="single" w:color="7A97AB" w:themeColor="text2" w:sz="4" w:space="10"/>
      </w:pBdr>
      <w:spacing w:after="240"/>
      <w:outlineLvl w:val="1"/>
    </w:pPr>
    <w:rPr>
      <w:rFonts w:eastAsiaTheme="majorEastAsia" w:cstheme="majorBidi"/>
      <w:b/>
      <w:sz w:val="32"/>
      <w:szCs w:val="32"/>
      <w:lang w:eastAsia="ja-JP"/>
    </w:rPr>
  </w:style>
  <w:style w:type="paragraph" w:styleId="Heading3">
    <w:name w:val="heading 3"/>
    <w:aliases w:val="Heading 3 Subsection 2"/>
    <w:basedOn w:val="Normal"/>
    <w:next w:val="BodyText125"/>
    <w:link w:val="Heading3Char"/>
    <w:qFormat/>
    <w:rsid w:val="001202FC"/>
    <w:pPr>
      <w:keepNext/>
      <w:keepLines/>
      <w:numPr>
        <w:ilvl w:val="2"/>
        <w:numId w:val="4"/>
      </w:numPr>
      <w:spacing w:after="240"/>
      <w:ind w:left="850" w:hanging="850"/>
      <w:outlineLvl w:val="2"/>
    </w:pPr>
    <w:rPr>
      <w:rFonts w:eastAsiaTheme="majorEastAsia" w:cstheme="majorBidi"/>
      <w:b/>
      <w:i/>
      <w:sz w:val="28"/>
      <w:lang w:eastAsia="ja-JP"/>
    </w:rPr>
  </w:style>
  <w:style w:type="paragraph" w:styleId="Heading4">
    <w:name w:val="heading 4"/>
    <w:aliases w:val="Heading 4 Subsection 3"/>
    <w:basedOn w:val="Normal"/>
    <w:next w:val="BodyText125"/>
    <w:link w:val="Heading4Char"/>
    <w:qFormat/>
    <w:rsid w:val="001202FC"/>
    <w:pPr>
      <w:keepNext/>
      <w:keepLines/>
      <w:numPr>
        <w:ilvl w:val="3"/>
        <w:numId w:val="4"/>
      </w:numPr>
      <w:spacing w:after="240"/>
      <w:ind w:left="1138" w:hanging="1138"/>
      <w:outlineLvl w:val="3"/>
    </w:pPr>
    <w:rPr>
      <w:rFonts w:eastAsiaTheme="majorEastAsia" w:cstheme="majorBidi"/>
      <w:i/>
      <w:iCs/>
      <w:sz w:val="28"/>
      <w:lang w:eastAsia="ja-JP"/>
    </w:rPr>
  </w:style>
  <w:style w:type="paragraph" w:styleId="Heading5">
    <w:name w:val="heading 5"/>
    <w:aliases w:val="Heading 5 Subsection 4"/>
    <w:basedOn w:val="Normal"/>
    <w:next w:val="BodyText125"/>
    <w:link w:val="Heading5Char"/>
    <w:qFormat/>
    <w:rsid w:val="00E552ED"/>
    <w:pPr>
      <w:keepNext/>
      <w:keepLines/>
      <w:numPr>
        <w:ilvl w:val="4"/>
        <w:numId w:val="4"/>
      </w:numPr>
      <w:spacing w:after="240"/>
      <w:ind w:left="1253" w:hanging="1253"/>
      <w:outlineLvl w:val="4"/>
    </w:pPr>
    <w:rPr>
      <w:rFonts w:eastAsiaTheme="majorEastAsia" w:cstheme="majorBidi"/>
      <w:b/>
      <w:lang w:eastAsia="ja-JP"/>
    </w:rPr>
  </w:style>
  <w:style w:type="paragraph" w:styleId="Heading6">
    <w:name w:val="heading 6"/>
    <w:aliases w:val="Heading 6 Subsection 5"/>
    <w:basedOn w:val="Normal"/>
    <w:next w:val="Normal"/>
    <w:link w:val="Heading6Char"/>
    <w:unhideWhenUsed/>
    <w:qFormat/>
    <w:rsid w:val="00E552ED"/>
    <w:pPr>
      <w:keepNext/>
      <w:keepLines/>
      <w:numPr>
        <w:ilvl w:val="5"/>
        <w:numId w:val="4"/>
      </w:numPr>
      <w:spacing w:after="240"/>
      <w:ind w:left="1526" w:hanging="1526"/>
      <w:outlineLvl w:val="5"/>
    </w:pPr>
    <w:rPr>
      <w:rFonts w:eastAsiaTheme="majorEastAsia" w:cstheme="majorBidi"/>
      <w:caps/>
      <w:lang w:eastAsia="ja-JP"/>
    </w:rPr>
  </w:style>
  <w:style w:type="paragraph" w:styleId="Heading7">
    <w:name w:val="heading 7"/>
    <w:basedOn w:val="Normal"/>
    <w:next w:val="Normal"/>
    <w:link w:val="Heading7Char"/>
    <w:uiPriority w:val="9"/>
    <w:unhideWhenUsed/>
    <w:rsid w:val="004C4C88"/>
    <w:pPr>
      <w:keepNext/>
      <w:keepLines/>
      <w:outlineLvl w:val="6"/>
    </w:pPr>
    <w:rPr>
      <w:rFonts w:ascii="Cambria" w:hAnsi="Cambria"/>
      <w:i/>
      <w:iCs/>
      <w:color w:val="404040"/>
    </w:rPr>
  </w:style>
  <w:style w:type="paragraph" w:styleId="Heading8">
    <w:name w:val="heading 8"/>
    <w:basedOn w:val="Normal"/>
    <w:next w:val="Normal"/>
    <w:link w:val="Heading8Char"/>
    <w:uiPriority w:val="9"/>
    <w:unhideWhenUsed/>
    <w:rsid w:val="004C4C88"/>
    <w:pPr>
      <w:keepNext/>
      <w:keepLines/>
      <w:outlineLvl w:val="7"/>
    </w:pPr>
    <w:rPr>
      <w:rFonts w:ascii="Cambria" w:hAnsi="Cambria"/>
      <w:color w:val="404040"/>
      <w:sz w:val="20"/>
    </w:rPr>
  </w:style>
  <w:style w:type="paragraph" w:styleId="Heading9">
    <w:name w:val="heading 9"/>
    <w:basedOn w:val="Normal"/>
    <w:next w:val="Normal"/>
    <w:link w:val="Heading9Char"/>
    <w:uiPriority w:val="9"/>
    <w:unhideWhenUsed/>
    <w:rsid w:val="004C4C88"/>
    <w:pPr>
      <w:keepNext/>
      <w:keepLines/>
      <w:outlineLvl w:val="8"/>
    </w:pPr>
    <w:rPr>
      <w:rFonts w:ascii="Cambria" w:hAnsi="Cambria"/>
      <w:i/>
      <w:iCs/>
      <w:color w:val="404040"/>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eading 1 Chapter Char"/>
    <w:basedOn w:val="DefaultParagraphFont"/>
    <w:link w:val="Heading1"/>
    <w:rsid w:val="003D657B"/>
    <w:rPr>
      <w:rFonts w:eastAsiaTheme="majorEastAsia" w:cstheme="majorBidi"/>
      <w:sz w:val="40"/>
      <w:szCs w:val="48"/>
      <w:lang w:eastAsia="ja-JP"/>
    </w:rPr>
  </w:style>
  <w:style w:type="character" w:styleId="Heading2Char" w:customStyle="1">
    <w:name w:val="Heading 2 Char"/>
    <w:aliases w:val="Heading 2 Subsection 1 Char"/>
    <w:basedOn w:val="DefaultParagraphFont"/>
    <w:link w:val="Heading2"/>
    <w:rsid w:val="003D657B"/>
    <w:rPr>
      <w:rFonts w:eastAsiaTheme="majorEastAsia" w:cstheme="majorBidi"/>
      <w:b/>
      <w:sz w:val="32"/>
      <w:szCs w:val="32"/>
      <w:lang w:eastAsia="ja-JP"/>
    </w:rPr>
  </w:style>
  <w:style w:type="character" w:styleId="Heading6Char" w:customStyle="1">
    <w:name w:val="Heading 6 Char"/>
    <w:aliases w:val="Heading 6 Subsection 5 Char"/>
    <w:basedOn w:val="DefaultParagraphFont"/>
    <w:link w:val="Heading6"/>
    <w:rsid w:val="00C85DFA"/>
    <w:rPr>
      <w:rFonts w:eastAsiaTheme="majorEastAsia" w:cstheme="majorBidi"/>
      <w:caps/>
      <w:lang w:eastAsia="ja-JP"/>
    </w:rPr>
  </w:style>
  <w:style w:type="paragraph" w:styleId="AppendixHeading" w:customStyle="1">
    <w:name w:val="Appendix Heading"/>
    <w:basedOn w:val="Heading6"/>
    <w:link w:val="AppendixHeadingChar"/>
    <w:semiHidden/>
    <w:rsid w:val="004C4C88"/>
    <w:pPr>
      <w:contextualSpacing/>
    </w:pPr>
    <w:rPr>
      <w:sz w:val="40"/>
    </w:rPr>
  </w:style>
  <w:style w:type="character" w:styleId="AppendixHeadingChar" w:customStyle="1">
    <w:name w:val="Appendix Heading Char"/>
    <w:link w:val="AppendixHeading"/>
    <w:semiHidden/>
    <w:rsid w:val="003D657B"/>
    <w:rPr>
      <w:rFonts w:eastAsiaTheme="majorEastAsia" w:cstheme="majorBidi"/>
      <w:caps/>
      <w:sz w:val="40"/>
      <w:lang w:eastAsia="ja-JP"/>
    </w:rPr>
  </w:style>
  <w:style w:type="paragraph" w:styleId="BalloonText">
    <w:name w:val="Balloon Text"/>
    <w:basedOn w:val="Normal"/>
    <w:link w:val="BalloonTextChar"/>
    <w:uiPriority w:val="99"/>
    <w:semiHidden/>
    <w:unhideWhenUsed/>
    <w:rsid w:val="004C4C88"/>
    <w:rPr>
      <w:rFonts w:ascii="Tahoma" w:hAnsi="Tahoma"/>
      <w:sz w:val="16"/>
      <w:szCs w:val="16"/>
      <w:lang w:eastAsia="x-none"/>
    </w:rPr>
  </w:style>
  <w:style w:type="character" w:styleId="BalloonTextChar" w:customStyle="1">
    <w:name w:val="Balloon Text Char"/>
    <w:link w:val="BalloonText"/>
    <w:uiPriority w:val="99"/>
    <w:semiHidden/>
    <w:rsid w:val="004C4C88"/>
    <w:rPr>
      <w:rFonts w:ascii="Tahoma" w:hAnsi="Tahoma" w:eastAsia="Times New Roman" w:cs="Times New Roman"/>
      <w:color w:val="auto"/>
      <w:sz w:val="16"/>
      <w:szCs w:val="16"/>
      <w:lang w:val="en-CA" w:eastAsia="x-none"/>
    </w:rPr>
  </w:style>
  <w:style w:type="paragraph" w:styleId="BodyTextbulletsss" w:customStyle="1">
    <w:name w:val="BodyText bullets (ss)"/>
    <w:basedOn w:val="BodyTextbullets125"/>
    <w:qFormat/>
    <w:rsid w:val="009648EF"/>
    <w:pPr>
      <w:spacing w:line="240" w:lineRule="auto"/>
    </w:pPr>
  </w:style>
  <w:style w:type="paragraph" w:styleId="Sourcecaptions" w:customStyle="1">
    <w:name w:val="Source captions"/>
    <w:basedOn w:val="BodyText125"/>
    <w:link w:val="SourcecaptionsChar"/>
    <w:uiPriority w:val="2"/>
    <w:qFormat/>
    <w:rsid w:val="00F21A09"/>
    <w:pPr>
      <w:spacing w:after="360" w:line="240" w:lineRule="auto"/>
      <w:contextualSpacing/>
    </w:pPr>
    <w:rPr>
      <w:sz w:val="22"/>
    </w:rPr>
  </w:style>
  <w:style w:type="paragraph" w:styleId="BasicParagraph" w:customStyle="1">
    <w:name w:val="[Basic Paragraph]"/>
    <w:basedOn w:val="Normal"/>
    <w:uiPriority w:val="99"/>
    <w:rsid w:val="004C4C88"/>
    <w:pPr>
      <w:widowControl w:val="0"/>
      <w:autoSpaceDE w:val="0"/>
      <w:autoSpaceDN w:val="0"/>
      <w:adjustRightInd w:val="0"/>
      <w:spacing w:line="288" w:lineRule="auto"/>
      <w:textAlignment w:val="center"/>
    </w:pPr>
    <w:rPr>
      <w:rFonts w:ascii="MinionPro-Regular" w:hAnsi="MinionPro-Regular" w:cs="MinionPro-Regular"/>
    </w:rPr>
  </w:style>
  <w:style w:type="paragraph" w:styleId="BodyText125" w:customStyle="1">
    <w:name w:val="BodyText (1.25)"/>
    <w:basedOn w:val="Normal"/>
    <w:link w:val="BodyText125Char"/>
    <w:qFormat/>
    <w:rsid w:val="006A447D"/>
    <w:pPr>
      <w:spacing w:after="240" w:line="300" w:lineRule="auto"/>
    </w:pPr>
    <w:rPr>
      <w:rFonts w:eastAsia="Times New Roman"/>
    </w:rPr>
  </w:style>
  <w:style w:type="character" w:styleId="BodyText125Char" w:customStyle="1">
    <w:name w:val="BodyText (1.25) Char"/>
    <w:link w:val="BodyText125"/>
    <w:rsid w:val="00F42FAD"/>
    <w:rPr>
      <w:rFonts w:eastAsia="Times New Roman"/>
      <w:lang w:val="en-CA"/>
    </w:rPr>
  </w:style>
  <w:style w:type="paragraph" w:styleId="BodyTextbullets125" w:customStyle="1">
    <w:name w:val="BodyText bullets (1.25)"/>
    <w:basedOn w:val="BodyText125"/>
    <w:link w:val="BodyTextbullets125Char"/>
    <w:qFormat/>
    <w:rsid w:val="009648EF"/>
    <w:pPr>
      <w:numPr>
        <w:numId w:val="1"/>
      </w:numPr>
      <w:contextualSpacing/>
    </w:pPr>
  </w:style>
  <w:style w:type="character" w:styleId="BodyTextbullets125Char" w:customStyle="1">
    <w:name w:val="BodyText bullets (1.25) Char"/>
    <w:link w:val="BodyTextbullets125"/>
    <w:rsid w:val="009648EF"/>
    <w:rPr>
      <w:rFonts w:eastAsia="Times New Roman"/>
    </w:rPr>
  </w:style>
  <w:style w:type="paragraph" w:styleId="BodyTextss" w:customStyle="1">
    <w:name w:val="BodyText (ss)"/>
    <w:basedOn w:val="BodyText125"/>
    <w:link w:val="BodyTextssChar"/>
    <w:qFormat/>
    <w:rsid w:val="00240FBF"/>
    <w:pPr>
      <w:spacing w:line="240" w:lineRule="auto"/>
    </w:pPr>
  </w:style>
  <w:style w:type="character" w:styleId="BodyTextssChar" w:customStyle="1">
    <w:name w:val="BodyText (ss) Char"/>
    <w:link w:val="BodyTextss"/>
    <w:rsid w:val="003D657B"/>
    <w:rPr>
      <w:rFonts w:eastAsia="Times New Roman"/>
      <w:lang w:val="en-CA"/>
    </w:rPr>
  </w:style>
  <w:style w:type="character" w:styleId="SourcecaptionsChar" w:customStyle="1">
    <w:name w:val="Source captions Char"/>
    <w:basedOn w:val="DefaultParagraphFont"/>
    <w:link w:val="Sourcecaptions"/>
    <w:uiPriority w:val="2"/>
    <w:rsid w:val="00F21A09"/>
    <w:rPr>
      <w:rFonts w:eastAsia="Times New Roman"/>
      <w:sz w:val="22"/>
    </w:rPr>
  </w:style>
  <w:style w:type="character" w:styleId="Heading5Char" w:customStyle="1">
    <w:name w:val="Heading 5 Char"/>
    <w:aliases w:val="Heading 5 Subsection 4 Char"/>
    <w:basedOn w:val="DefaultParagraphFont"/>
    <w:link w:val="Heading5"/>
    <w:rsid w:val="003D657B"/>
    <w:rPr>
      <w:rFonts w:eastAsiaTheme="majorEastAsia" w:cstheme="majorBidi"/>
      <w:b/>
      <w:lang w:eastAsia="ja-JP"/>
    </w:rPr>
  </w:style>
  <w:style w:type="character" w:styleId="Heading3Char" w:customStyle="1">
    <w:name w:val="Heading 3 Char"/>
    <w:aliases w:val="Heading 3 Subsection 2 Char"/>
    <w:basedOn w:val="DefaultParagraphFont"/>
    <w:link w:val="Heading3"/>
    <w:rsid w:val="003D657B"/>
    <w:rPr>
      <w:rFonts w:eastAsiaTheme="majorEastAsia" w:cstheme="majorBidi"/>
      <w:b/>
      <w:i/>
      <w:sz w:val="28"/>
      <w:lang w:eastAsia="ja-JP"/>
    </w:rPr>
  </w:style>
  <w:style w:type="character" w:styleId="Heading4Char" w:customStyle="1">
    <w:name w:val="Heading 4 Char"/>
    <w:aliases w:val="Heading 4 Subsection 3 Char"/>
    <w:basedOn w:val="DefaultParagraphFont"/>
    <w:link w:val="Heading4"/>
    <w:rsid w:val="003D657B"/>
    <w:rPr>
      <w:rFonts w:eastAsiaTheme="majorEastAsia" w:cstheme="majorBidi"/>
      <w:i/>
      <w:iCs/>
      <w:sz w:val="28"/>
      <w:lang w:eastAsia="ja-JP"/>
    </w:rPr>
  </w:style>
  <w:style w:type="paragraph" w:styleId="FigureTableTitles" w:customStyle="1">
    <w:name w:val="Figure/Table Titles"/>
    <w:basedOn w:val="BodyTextss"/>
    <w:link w:val="FigureTableTitlesChar"/>
    <w:uiPriority w:val="1"/>
    <w:qFormat/>
    <w:rsid w:val="0009769E"/>
    <w:pPr>
      <w:keepNext/>
      <w:contextualSpacing/>
      <w:jc w:val="center"/>
    </w:pPr>
  </w:style>
  <w:style w:type="character" w:styleId="FigureTableTitlesChar" w:customStyle="1">
    <w:name w:val="Figure/Table Titles Char"/>
    <w:link w:val="FigureTableTitles"/>
    <w:uiPriority w:val="1"/>
    <w:rsid w:val="00C85DFA"/>
    <w:rPr>
      <w:rFonts w:eastAsia="Times New Roman"/>
      <w:lang w:val="en-CA"/>
    </w:rPr>
  </w:style>
  <w:style w:type="paragraph" w:styleId="Footer">
    <w:name w:val="footer"/>
    <w:basedOn w:val="Normal"/>
    <w:link w:val="FooterChar"/>
    <w:uiPriority w:val="99"/>
    <w:rsid w:val="004C4C88"/>
    <w:pPr>
      <w:tabs>
        <w:tab w:val="center" w:pos="4320"/>
        <w:tab w:val="right" w:pos="8640"/>
      </w:tabs>
    </w:pPr>
  </w:style>
  <w:style w:type="character" w:styleId="FooterChar" w:customStyle="1">
    <w:name w:val="Footer Char"/>
    <w:link w:val="Footer"/>
    <w:uiPriority w:val="99"/>
    <w:rsid w:val="004C4C88"/>
    <w:rPr>
      <w:rFonts w:eastAsia="Times New Roman" w:cs="Times New Roman"/>
      <w:color w:val="auto"/>
      <w:szCs w:val="20"/>
      <w:lang w:val="en-CA"/>
    </w:rPr>
  </w:style>
  <w:style w:type="paragraph" w:styleId="Footnote" w:customStyle="1">
    <w:name w:val="Footnote"/>
    <w:basedOn w:val="BodyTextss"/>
    <w:link w:val="FootnoteChar"/>
    <w:uiPriority w:val="3"/>
    <w:qFormat/>
    <w:rsid w:val="00F21A09"/>
    <w:pPr>
      <w:framePr w:hSpace="180" w:wrap="around" w:hAnchor="page" w:vAnchor="page" w:x="1439" w:y="14415"/>
      <w:spacing w:after="120"/>
      <w:contextualSpacing/>
    </w:pPr>
    <w:rPr>
      <w:rFonts w:asciiTheme="minorHAnsi" w:hAnsiTheme="minorHAnsi" w:eastAsiaTheme="majorEastAsia"/>
      <w:bdr w:val="single" w:color="FFFFFF" w:themeColor="background1" w:sz="4" w:space="0"/>
      <w:lang w:eastAsia="zh-TW"/>
    </w:rPr>
  </w:style>
  <w:style w:type="character" w:styleId="FootnoteChar" w:customStyle="1">
    <w:name w:val="Footnote Char"/>
    <w:link w:val="Footnote"/>
    <w:uiPriority w:val="3"/>
    <w:rsid w:val="00F21A09"/>
    <w:rPr>
      <w:rFonts w:asciiTheme="minorHAnsi" w:hAnsiTheme="minorHAnsi" w:eastAsiaTheme="majorEastAsia"/>
      <w:bdr w:val="single" w:color="FFFFFF" w:themeColor="background1" w:sz="4" w:space="0"/>
      <w:lang w:eastAsia="zh-TW"/>
    </w:rPr>
  </w:style>
  <w:style w:type="character" w:styleId="FootnoteReference">
    <w:name w:val="footnote reference"/>
    <w:uiPriority w:val="99"/>
    <w:semiHidden/>
    <w:unhideWhenUsed/>
    <w:rsid w:val="004C4C88"/>
    <w:rPr>
      <w:vertAlign w:val="superscript"/>
    </w:rPr>
  </w:style>
  <w:style w:type="paragraph" w:styleId="FootnoteText">
    <w:name w:val="footnote text"/>
    <w:basedOn w:val="BodyTextss"/>
    <w:link w:val="FootnoteTextChar"/>
    <w:autoRedefine/>
    <w:semiHidden/>
    <w:rsid w:val="004C4C88"/>
    <w:pPr>
      <w:spacing w:after="0"/>
    </w:pPr>
  </w:style>
  <w:style w:type="character" w:styleId="FootnoteTextChar" w:customStyle="1">
    <w:name w:val="Footnote Text Char"/>
    <w:basedOn w:val="DefaultParagraphFont"/>
    <w:link w:val="FootnoteText"/>
    <w:semiHidden/>
    <w:rsid w:val="004C4C88"/>
    <w:rPr>
      <w:rFonts w:eastAsia="Times New Roman" w:cs="Arial"/>
      <w:color w:val="auto"/>
      <w:szCs w:val="20"/>
      <w:lang w:val="en-CA"/>
    </w:rPr>
  </w:style>
  <w:style w:type="character" w:styleId="Heading7Char" w:customStyle="1">
    <w:name w:val="Heading 7 Char"/>
    <w:link w:val="Heading7"/>
    <w:uiPriority w:val="9"/>
    <w:rsid w:val="004C4C88"/>
    <w:rPr>
      <w:rFonts w:ascii="Cambria" w:hAnsi="Cambria" w:eastAsia="Times New Roman" w:cs="Times New Roman"/>
      <w:i/>
      <w:iCs/>
      <w:color w:val="404040"/>
      <w:szCs w:val="20"/>
      <w:lang w:val="en-CA"/>
    </w:rPr>
  </w:style>
  <w:style w:type="character" w:styleId="Heading8Char" w:customStyle="1">
    <w:name w:val="Heading 8 Char"/>
    <w:link w:val="Heading8"/>
    <w:uiPriority w:val="9"/>
    <w:rsid w:val="004C4C88"/>
    <w:rPr>
      <w:rFonts w:ascii="Cambria" w:hAnsi="Cambria" w:eastAsia="Times New Roman" w:cs="Times New Roman"/>
      <w:color w:val="404040"/>
      <w:sz w:val="20"/>
      <w:szCs w:val="20"/>
      <w:lang w:val="en-CA"/>
    </w:rPr>
  </w:style>
  <w:style w:type="character" w:styleId="Heading9Char" w:customStyle="1">
    <w:name w:val="Heading 9 Char"/>
    <w:link w:val="Heading9"/>
    <w:uiPriority w:val="9"/>
    <w:rsid w:val="004C4C88"/>
    <w:rPr>
      <w:rFonts w:ascii="Cambria" w:hAnsi="Cambria" w:eastAsia="Times New Roman" w:cs="Times New Roman"/>
      <w:i/>
      <w:iCs/>
      <w:color w:val="404040"/>
      <w:sz w:val="20"/>
      <w:szCs w:val="20"/>
      <w:lang w:val="en-CA"/>
    </w:rPr>
  </w:style>
  <w:style w:type="character" w:styleId="Hyperlink">
    <w:name w:val="Hyperlink"/>
    <w:uiPriority w:val="99"/>
    <w:unhideWhenUsed/>
    <w:rsid w:val="004C4C88"/>
    <w:rPr>
      <w:color w:val="0000FF"/>
      <w:u w:val="single"/>
    </w:rPr>
  </w:style>
  <w:style w:type="paragraph" w:styleId="ListParagraph">
    <w:name w:val="List Paragraph"/>
    <w:aliases w:val="Title APP Name"/>
    <w:basedOn w:val="Normal"/>
    <w:link w:val="ListParagraphChar"/>
    <w:uiPriority w:val="34"/>
    <w:rsid w:val="004C4C88"/>
    <w:pPr>
      <w:numPr>
        <w:numId w:val="2"/>
      </w:numPr>
      <w:jc w:val="center"/>
      <w:outlineLvl w:val="0"/>
    </w:pPr>
    <w:rPr>
      <w:b/>
      <w:bCs/>
      <w:iCs/>
      <w:sz w:val="40"/>
      <w:szCs w:val="28"/>
      <w:lang w:val="en-GB"/>
    </w:rPr>
  </w:style>
  <w:style w:type="character" w:styleId="ListParagraphChar" w:customStyle="1">
    <w:name w:val="List Paragraph Char"/>
    <w:aliases w:val="Title APP Name Char"/>
    <w:link w:val="ListParagraph"/>
    <w:uiPriority w:val="34"/>
    <w:rsid w:val="004C4C88"/>
    <w:rPr>
      <w:b/>
      <w:bCs/>
      <w:iCs/>
      <w:sz w:val="40"/>
      <w:szCs w:val="28"/>
      <w:lang w:val="en-GB"/>
    </w:rPr>
  </w:style>
  <w:style w:type="paragraph" w:styleId="MinorTitle" w:customStyle="1">
    <w:name w:val="Minor Title"/>
    <w:basedOn w:val="Heading1"/>
    <w:link w:val="MinorTitleChar"/>
    <w:uiPriority w:val="1"/>
    <w:qFormat/>
    <w:rsid w:val="000362A5"/>
    <w:pPr>
      <w:numPr>
        <w:numId w:val="0"/>
      </w:numPr>
      <w:jc w:val="center"/>
      <w:outlineLvl w:val="9"/>
    </w:pPr>
    <w:rPr>
      <w:b/>
      <w:sz w:val="32"/>
      <w:szCs w:val="32"/>
    </w:rPr>
  </w:style>
  <w:style w:type="character" w:styleId="MinorTitleChar" w:customStyle="1">
    <w:name w:val="Minor Title Char"/>
    <w:link w:val="MinorTitle"/>
    <w:uiPriority w:val="1"/>
    <w:rsid w:val="000362A5"/>
    <w:rPr>
      <w:rFonts w:eastAsiaTheme="majorEastAsia" w:cstheme="majorBidi"/>
      <w:b/>
      <w:sz w:val="32"/>
      <w:szCs w:val="32"/>
      <w:lang w:eastAsia="ja-JP"/>
    </w:rPr>
  </w:style>
  <w:style w:type="character" w:styleId="PageNumber">
    <w:name w:val="page number"/>
    <w:basedOn w:val="DefaultParagraphFont"/>
    <w:uiPriority w:val="2"/>
    <w:unhideWhenUsed/>
    <w:rsid w:val="004C4C88"/>
  </w:style>
  <w:style w:type="paragraph" w:styleId="Quote">
    <w:name w:val="Quote"/>
    <w:basedOn w:val="BodyTextss"/>
    <w:next w:val="Normal"/>
    <w:link w:val="QuoteChar"/>
    <w:uiPriority w:val="1"/>
    <w:qFormat/>
    <w:rsid w:val="001B0137"/>
    <w:pPr>
      <w:ind w:left="720" w:right="720"/>
    </w:pPr>
    <w:rPr>
      <w:iCs/>
    </w:rPr>
  </w:style>
  <w:style w:type="character" w:styleId="QuoteChar" w:customStyle="1">
    <w:name w:val="Quote Char"/>
    <w:link w:val="Quote"/>
    <w:uiPriority w:val="1"/>
    <w:rsid w:val="003D657B"/>
    <w:rPr>
      <w:rFonts w:eastAsia="Times New Roman"/>
      <w:iCs/>
      <w:lang w:val="en-CA"/>
    </w:rPr>
  </w:style>
  <w:style w:type="paragraph" w:styleId="TOC1">
    <w:name w:val="toc 1"/>
    <w:basedOn w:val="Normal"/>
    <w:next w:val="Normal"/>
    <w:link w:val="TOC1Char"/>
    <w:autoRedefine/>
    <w:uiPriority w:val="39"/>
    <w:unhideWhenUsed/>
    <w:rsid w:val="00C1502F"/>
    <w:pPr>
      <w:tabs>
        <w:tab w:val="right" w:leader="dot" w:pos="9350"/>
      </w:tabs>
      <w:spacing w:before="120"/>
      <w:ind w:left="720" w:right="720" w:hanging="720"/>
    </w:pPr>
    <w:rPr>
      <w:rFonts w:asciiTheme="minorHAnsi" w:hAnsiTheme="minorHAnsi" w:cstheme="minorHAnsi"/>
      <w:b/>
      <w:bCs/>
      <w:szCs w:val="20"/>
    </w:rPr>
  </w:style>
  <w:style w:type="character" w:styleId="TOC1Char" w:customStyle="1">
    <w:name w:val="TOC 1 Char"/>
    <w:link w:val="TOC1"/>
    <w:uiPriority w:val="39"/>
    <w:rsid w:val="00C1502F"/>
    <w:rPr>
      <w:rFonts w:asciiTheme="minorHAnsi" w:hAnsiTheme="minorHAnsi" w:cstheme="minorHAnsi"/>
      <w:b/>
      <w:bCs/>
      <w:szCs w:val="20"/>
    </w:rPr>
  </w:style>
  <w:style w:type="paragraph" w:styleId="TableofContents" w:customStyle="1">
    <w:name w:val="Table of Contents"/>
    <w:basedOn w:val="TOC1"/>
    <w:link w:val="TableofContentsChar"/>
    <w:uiPriority w:val="1"/>
    <w:qFormat/>
    <w:rsid w:val="00D86453"/>
  </w:style>
  <w:style w:type="character" w:styleId="TableofContentsChar" w:customStyle="1">
    <w:name w:val="Table of Contents Char"/>
    <w:link w:val="TableofContents"/>
    <w:uiPriority w:val="1"/>
    <w:rsid w:val="00C85DFA"/>
    <w:rPr>
      <w:rFonts w:asciiTheme="minorHAnsi" w:hAnsiTheme="minorHAnsi" w:cstheme="minorHAnsi"/>
      <w:b/>
      <w:bCs/>
      <w:szCs w:val="20"/>
      <w:lang w:val="en-CA"/>
    </w:rPr>
  </w:style>
  <w:style w:type="paragraph" w:styleId="APP1stpage" w:customStyle="1">
    <w:name w:val="APP 1st page"/>
    <w:basedOn w:val="AppendixHeading"/>
    <w:link w:val="APP1stpageChar"/>
    <w:uiPriority w:val="3"/>
    <w:qFormat/>
    <w:rsid w:val="00A043B7"/>
    <w:pPr>
      <w:numPr>
        <w:ilvl w:val="0"/>
        <w:numId w:val="0"/>
      </w:numPr>
      <w:outlineLvl w:val="9"/>
    </w:pPr>
    <w:rPr>
      <w:caps w:val="0"/>
      <w:sz w:val="44"/>
    </w:rPr>
  </w:style>
  <w:style w:type="character" w:styleId="APP1stpageChar" w:customStyle="1">
    <w:name w:val="APP 1st page Char"/>
    <w:link w:val="APP1stpage"/>
    <w:uiPriority w:val="3"/>
    <w:rsid w:val="00AC3711"/>
    <w:rPr>
      <w:rFonts w:eastAsiaTheme="majorEastAsia" w:cstheme="majorBidi"/>
      <w:sz w:val="44"/>
      <w:lang w:val="en-CA" w:eastAsia="ja-JP"/>
    </w:rPr>
  </w:style>
  <w:style w:type="paragraph" w:styleId="TitleAPPENDIXdiv" w:customStyle="1">
    <w:name w:val="Title APPENDIX div"/>
    <w:basedOn w:val="ListParagraph"/>
    <w:link w:val="TitleAPPENDIXdivChar"/>
    <w:uiPriority w:val="2"/>
    <w:rsid w:val="001B0137"/>
    <w:pPr>
      <w:numPr>
        <w:numId w:val="0"/>
      </w:numPr>
    </w:pPr>
    <w:rPr>
      <w:b w:val="0"/>
      <w:sz w:val="44"/>
    </w:rPr>
  </w:style>
  <w:style w:type="character" w:styleId="TitleAPPENDIXdivChar" w:customStyle="1">
    <w:name w:val="Title APPENDIX div Char"/>
    <w:link w:val="TitleAPPENDIXdiv"/>
    <w:uiPriority w:val="2"/>
    <w:rsid w:val="00C85DFA"/>
    <w:rPr>
      <w:bCs/>
      <w:iCs/>
      <w:sz w:val="44"/>
      <w:szCs w:val="28"/>
      <w:lang w:val="en-GB"/>
    </w:rPr>
  </w:style>
  <w:style w:type="paragraph" w:styleId="TitleforTablesorFigures" w:customStyle="1">
    <w:name w:val="Title for Tables or Figures"/>
    <w:basedOn w:val="ListParagraph"/>
    <w:link w:val="TitleforTablesorFiguresChar"/>
    <w:uiPriority w:val="2"/>
    <w:unhideWhenUsed/>
    <w:qFormat/>
    <w:rsid w:val="006A447D"/>
    <w:pPr>
      <w:ind w:left="0" w:firstLine="0"/>
    </w:pPr>
    <w:rPr>
      <w:b w:val="0"/>
      <w:sz w:val="22"/>
    </w:rPr>
  </w:style>
  <w:style w:type="character" w:styleId="TitleforTablesorFiguresChar" w:customStyle="1">
    <w:name w:val="Title for Tables or Figures Char"/>
    <w:link w:val="TitleforTablesorFigures"/>
    <w:uiPriority w:val="2"/>
    <w:rsid w:val="00C85DFA"/>
    <w:rPr>
      <w:bCs/>
      <w:iCs/>
      <w:sz w:val="22"/>
      <w:szCs w:val="28"/>
      <w:lang w:val="en-GB"/>
    </w:rPr>
  </w:style>
  <w:style w:type="paragraph" w:styleId="TOC2">
    <w:name w:val="toc 2"/>
    <w:basedOn w:val="Normal"/>
    <w:next w:val="Normal"/>
    <w:autoRedefine/>
    <w:uiPriority w:val="39"/>
    <w:unhideWhenUsed/>
    <w:rsid w:val="00D779FC"/>
    <w:pPr>
      <w:ind w:left="1440" w:right="720" w:hanging="720"/>
    </w:pPr>
    <w:rPr>
      <w:rFonts w:asciiTheme="minorHAnsi" w:hAnsiTheme="minorHAnsi" w:cstheme="minorHAnsi"/>
      <w:iCs/>
      <w:szCs w:val="20"/>
    </w:rPr>
  </w:style>
  <w:style w:type="paragraph" w:styleId="TOC3">
    <w:name w:val="toc 3"/>
    <w:basedOn w:val="Normal"/>
    <w:next w:val="Normal"/>
    <w:autoRedefine/>
    <w:uiPriority w:val="39"/>
    <w:unhideWhenUsed/>
    <w:rsid w:val="00D779FC"/>
    <w:pPr>
      <w:ind w:left="2304" w:right="720" w:hanging="864"/>
    </w:pPr>
    <w:rPr>
      <w:rFonts w:asciiTheme="minorHAnsi" w:hAnsiTheme="minorHAnsi" w:cstheme="minorHAnsi"/>
      <w:szCs w:val="20"/>
    </w:rPr>
  </w:style>
  <w:style w:type="paragraph" w:styleId="TOCHeading">
    <w:name w:val="TOC Heading"/>
    <w:basedOn w:val="Normal"/>
    <w:next w:val="Normal"/>
    <w:uiPriority w:val="39"/>
    <w:unhideWhenUsed/>
    <w:qFormat/>
    <w:rsid w:val="00C235EF"/>
    <w:pPr>
      <w:spacing w:before="2760" w:after="600"/>
    </w:pPr>
    <w:rPr>
      <w:color w:val="425364" w:themeColor="text1"/>
      <w:sz w:val="48"/>
      <w:szCs w:val="48"/>
    </w:rPr>
  </w:style>
  <w:style w:type="paragraph" w:styleId="WatsonFooter" w:customStyle="1">
    <w:name w:val="Watson Footer"/>
    <w:basedOn w:val="Footer"/>
    <w:link w:val="WatsonFooterChar"/>
    <w:uiPriority w:val="3"/>
    <w:rsid w:val="004C4C88"/>
    <w:pPr>
      <w:pBdr>
        <w:top w:val="thickThinSmallGap" w:color="auto" w:sz="18" w:space="1"/>
      </w:pBdr>
      <w:tabs>
        <w:tab w:val="clear" w:pos="4320"/>
        <w:tab w:val="clear" w:pos="8640"/>
        <w:tab w:val="center" w:pos="3600"/>
        <w:tab w:val="right" w:pos="9000"/>
      </w:tabs>
    </w:pPr>
  </w:style>
  <w:style w:type="character" w:styleId="WatsonFooterChar" w:customStyle="1">
    <w:name w:val="Watson Footer Char"/>
    <w:link w:val="WatsonFooter"/>
    <w:uiPriority w:val="3"/>
    <w:rsid w:val="00C85DFA"/>
    <w:rPr>
      <w:lang w:val="en-CA"/>
    </w:rPr>
  </w:style>
  <w:style w:type="paragraph" w:styleId="WatsonHeader" w:customStyle="1">
    <w:name w:val="Watson Header"/>
    <w:basedOn w:val="Normal"/>
    <w:link w:val="WatsonHeaderChar"/>
    <w:uiPriority w:val="3"/>
    <w:rsid w:val="004C4C88"/>
    <w:pPr>
      <w:pBdr>
        <w:top w:val="thickThinSmallGap" w:color="auto" w:sz="18" w:space="1"/>
      </w:pBdr>
      <w:jc w:val="right"/>
    </w:pPr>
  </w:style>
  <w:style w:type="character" w:styleId="WatsonHeaderChar" w:customStyle="1">
    <w:name w:val="Watson Header Char"/>
    <w:link w:val="WatsonHeader"/>
    <w:uiPriority w:val="3"/>
    <w:rsid w:val="00C85DFA"/>
    <w:rPr>
      <w:lang w:val="en-CA"/>
    </w:rPr>
  </w:style>
  <w:style w:type="paragraph" w:styleId="Watsonletterheadheader" w:customStyle="1">
    <w:name w:val="Watson letterhead header"/>
    <w:basedOn w:val="Normal"/>
    <w:link w:val="WatsonletterheadheaderChar"/>
    <w:uiPriority w:val="3"/>
    <w:rsid w:val="004C4C88"/>
    <w:pPr>
      <w:jc w:val="right"/>
    </w:pPr>
    <w:rPr>
      <w:noProof/>
      <w:sz w:val="16"/>
      <w:szCs w:val="16"/>
    </w:rPr>
  </w:style>
  <w:style w:type="character" w:styleId="WatsonletterheadheaderChar" w:customStyle="1">
    <w:name w:val="Watson letterhead header Char"/>
    <w:link w:val="Watsonletterheadheader"/>
    <w:uiPriority w:val="3"/>
    <w:rsid w:val="00C85DFA"/>
    <w:rPr>
      <w:noProof/>
      <w:sz w:val="16"/>
      <w:szCs w:val="16"/>
      <w:lang w:val="en-CA"/>
    </w:rPr>
  </w:style>
  <w:style w:type="table" w:styleId="TableGrid">
    <w:name w:val="Table Grid"/>
    <w:basedOn w:val="TableNormal"/>
    <w:uiPriority w:val="39"/>
    <w:rsid w:val="00886D0F"/>
    <w:pPr>
      <w:jc w:val="right"/>
    </w:pPr>
    <w:rPr>
      <w:rFonts w:asciiTheme="minorHAnsi" w:hAnsiTheme="minorHAnsi"/>
    </w:rPr>
    <w:tblPr/>
    <w:tblStylePr w:type="firstRow">
      <w:pPr>
        <w:jc w:val="center"/>
      </w:pPr>
      <w:rPr>
        <w:rFonts w:asciiTheme="majorHAnsi" w:hAnsiTheme="majorHAnsi"/>
        <w:sz w:val="24"/>
      </w:rPr>
    </w:tblStylePr>
    <w:tblStylePr w:type="firstCol">
      <w:pPr>
        <w:wordWrap/>
        <w:spacing w:before="0" w:beforeLines="0" w:beforeAutospacing="0" w:after="0" w:afterLines="0" w:afterAutospacing="0" w:line="240" w:lineRule="auto"/>
        <w:jc w:val="left"/>
      </w:pPr>
    </w:tblStylePr>
    <w:tblStylePr w:type="nwCell">
      <w:pPr>
        <w:jc w:val="center"/>
      </w:pPr>
      <w:rPr>
        <w:rFonts w:asciiTheme="majorHAnsi" w:hAnsiTheme="majorHAnsi"/>
        <w:sz w:val="24"/>
      </w:rPr>
    </w:tblStylePr>
  </w:style>
  <w:style w:type="table" w:styleId="Watson11" w:customStyle="1">
    <w:name w:val="Watson1.1"/>
    <w:basedOn w:val="TableGrid"/>
    <w:uiPriority w:val="99"/>
    <w:rsid w:val="00F32534"/>
    <w:tblPr/>
    <w:trPr>
      <w:cantSplit/>
      <w:tblHeader/>
    </w:trPr>
    <w:tcPr>
      <w:tcBorders>
        <w:top w:val="single" w:color="auto" w:sz="4" w:space="0"/>
        <w:left w:val="single" w:color="auto" w:sz="4" w:space="0"/>
        <w:bottom w:val="single" w:color="auto" w:sz="4" w:space="0"/>
        <w:right w:val="single" w:color="auto" w:sz="4" w:space="0"/>
        <w:insideH w:val="nil"/>
        <w:insideV w:val="nil"/>
        <w:tl2br w:val="nil"/>
        <w:tr2bl w:val="nil"/>
      </w:tcBorders>
      <w:shd w:val="clear" w:color="auto" w:fill="425364" w:themeFill="text1"/>
    </w:tcPr>
    <w:tblStylePr w:type="firstRow">
      <w:pPr>
        <w:wordWrap/>
        <w:spacing w:before="120" w:beforeLines="0" w:beforeAutospacing="0" w:after="120" w:afterLines="0" w:afterAutospacing="0" w:line="240" w:lineRule="auto"/>
        <w:jc w:val="center"/>
      </w:pPr>
      <w:rPr>
        <w:rFonts w:asciiTheme="majorHAnsi" w:hAnsiTheme="majorHAnsi"/>
        <w:b/>
        <w:bCs/>
        <w:color w:val="FFFFFF" w:themeColor="background1"/>
        <w:sz w:val="24"/>
        <w:szCs w:val="24"/>
      </w:rPr>
    </w:tblStylePr>
    <w:tblStylePr w:type="lastRow">
      <w:pPr>
        <w:jc w:val="left"/>
      </w:pPr>
      <w:rPr>
        <w:rFonts w:ascii="Arial" w:hAnsi="Arial"/>
        <w:sz w:val="24"/>
      </w:rPr>
    </w:tblStylePr>
    <w:tblStylePr w:type="firstCol">
      <w:pPr>
        <w:wordWrap/>
        <w:spacing w:before="0" w:beforeLines="0" w:beforeAutospacing="0" w:after="0" w:afterLines="0" w:afterAutospacing="0" w:line="240" w:lineRule="auto"/>
        <w:jc w:val="left"/>
      </w:pPr>
      <w:rPr>
        <w:rFonts w:asciiTheme="majorHAnsi" w:hAnsiTheme="majorHAnsi"/>
        <w:b w:val="0"/>
        <w:color w:val="auto"/>
        <w:sz w:val="24"/>
      </w:rPr>
    </w:tblStylePr>
    <w:tblStylePr w:type="lastCol">
      <w:pPr>
        <w:jc w:val="left"/>
      </w:pPr>
      <w:rPr>
        <w:rFonts w:ascii="Arial" w:hAnsi="Arial"/>
        <w:color w:val="auto"/>
        <w:sz w:val="24"/>
      </w:rPr>
    </w:tblStylePr>
    <w:tblStylePr w:type="nwCell">
      <w:pPr>
        <w:wordWrap/>
        <w:spacing w:before="120" w:beforeLines="0" w:beforeAutospacing="0" w:after="120" w:afterLines="0" w:afterAutospacing="0" w:line="240" w:lineRule="auto"/>
        <w:jc w:val="center"/>
      </w:pPr>
      <w:rPr>
        <w:rFonts w:asciiTheme="majorHAnsi" w:hAnsiTheme="majorHAnsi"/>
        <w:b/>
        <w:color w:val="FFFFFF" w:themeColor="background1"/>
        <w:sz w:val="24"/>
      </w:rPr>
      <w:tblPr/>
      <w:tcPr>
        <w:shd w:val="clear" w:color="auto" w:fill="425364" w:themeFill="text1"/>
      </w:tcPr>
    </w:tblStylePr>
  </w:style>
  <w:style w:type="table" w:styleId="LightShading">
    <w:name w:val="Light Shading"/>
    <w:basedOn w:val="TableNormal"/>
    <w:uiPriority w:val="60"/>
    <w:rsid w:val="004C5B0D"/>
    <w:rPr>
      <w:color w:val="313E4A" w:themeColor="text1" w:themeShade="BF"/>
    </w:rPr>
    <w:tblPr>
      <w:tblStyleRowBandSize w:val="1"/>
      <w:tblStyleColBandSize w:val="1"/>
    </w:tblPr>
    <w:tcPr>
      <w:tcBorders>
        <w:left w:val="nil"/>
        <w:right w:val="nil"/>
      </w:tcBorders>
      <w:shd w:val="clear" w:color="auto" w:fill="CBD4DD" w:themeFill="text1" w:themeFillTint="3F"/>
    </w:tcPr>
    <w:tblStylePr w:type="firstRow">
      <w:pPr>
        <w:spacing w:before="0" w:after="0" w:line="240" w:lineRule="auto"/>
      </w:pPr>
      <w:rPr>
        <w:b/>
        <w:bCs/>
      </w:rPr>
      <w:tblPr/>
      <w:tcPr>
        <w:tcBorders>
          <w:top w:val="single" w:color="425364" w:themeColor="text1" w:sz="8" w:space="0"/>
          <w:left w:val="nil"/>
          <w:bottom w:val="single" w:color="425364" w:themeColor="text1" w:sz="8" w:space="0"/>
          <w:right w:val="nil"/>
          <w:insideH w:val="nil"/>
          <w:insideV w:val="nil"/>
        </w:tcBorders>
      </w:tcPr>
    </w:tblStylePr>
    <w:tblStylePr w:type="lastRow">
      <w:pPr>
        <w:spacing w:before="0" w:after="0" w:line="240" w:lineRule="auto"/>
      </w:pPr>
      <w:rPr>
        <w:b/>
        <w:bCs/>
      </w:rPr>
      <w:tblPr/>
      <w:tcPr>
        <w:tcBorders>
          <w:top w:val="single" w:color="425364" w:themeColor="text1" w:sz="8" w:space="0"/>
          <w:left w:val="nil"/>
          <w:bottom w:val="single" w:color="425364"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4DD" w:themeFill="text1" w:themeFillTint="3F"/>
      </w:tcPr>
    </w:tblStylePr>
  </w:style>
  <w:style w:type="paragraph" w:styleId="Header">
    <w:name w:val="header"/>
    <w:basedOn w:val="Normal"/>
    <w:link w:val="HeaderChar"/>
    <w:uiPriority w:val="99"/>
    <w:unhideWhenUsed/>
    <w:rsid w:val="00294E19"/>
    <w:pPr>
      <w:tabs>
        <w:tab w:val="center" w:pos="4320"/>
        <w:tab w:val="right" w:pos="8640"/>
      </w:tabs>
      <w:jc w:val="right"/>
    </w:pPr>
  </w:style>
  <w:style w:type="character" w:styleId="HeaderChar" w:customStyle="1">
    <w:name w:val="Header Char"/>
    <w:basedOn w:val="DefaultParagraphFont"/>
    <w:link w:val="Header"/>
    <w:uiPriority w:val="99"/>
    <w:rsid w:val="00294E19"/>
  </w:style>
  <w:style w:type="paragraph" w:styleId="Revision">
    <w:name w:val="Revision"/>
    <w:hidden/>
    <w:uiPriority w:val="99"/>
    <w:semiHidden/>
    <w:rsid w:val="00DB16F2"/>
    <w:rPr>
      <w:rFonts w:eastAsia="Times New Roman" w:cs="Times New Roman"/>
      <w:color w:val="6E6E6E"/>
      <w:lang w:val="en-CA"/>
    </w:rPr>
  </w:style>
  <w:style w:type="paragraph" w:styleId="DocumentMap">
    <w:name w:val="Document Map"/>
    <w:basedOn w:val="Normal"/>
    <w:link w:val="DocumentMapChar"/>
    <w:uiPriority w:val="99"/>
    <w:semiHidden/>
    <w:unhideWhenUsed/>
    <w:rsid w:val="00DB16F2"/>
    <w:rPr>
      <w:rFonts w:ascii="Lucida Grande" w:hAnsi="Lucida Grande" w:cs="Lucida Grande"/>
    </w:rPr>
  </w:style>
  <w:style w:type="character" w:styleId="DocumentMapChar" w:customStyle="1">
    <w:name w:val="Document Map Char"/>
    <w:basedOn w:val="DefaultParagraphFont"/>
    <w:link w:val="DocumentMap"/>
    <w:uiPriority w:val="99"/>
    <w:semiHidden/>
    <w:rsid w:val="00DB16F2"/>
    <w:rPr>
      <w:rFonts w:ascii="Lucida Grande" w:hAnsi="Lucida Grande" w:eastAsia="Times New Roman" w:cs="Lucida Grande"/>
      <w:color w:val="6E6E6E"/>
      <w:lang w:val="en-CA"/>
    </w:rPr>
  </w:style>
  <w:style w:type="table" w:styleId="LightShading-Accent1">
    <w:name w:val="Light Shading Accent 1"/>
    <w:basedOn w:val="TableNormal"/>
    <w:uiPriority w:val="60"/>
    <w:rsid w:val="00BE110B"/>
    <w:rPr>
      <w:rFonts w:asciiTheme="minorHAnsi" w:hAnsiTheme="minorHAnsi" w:eastAsiaTheme="minorEastAsia"/>
      <w:color w:val="C34713" w:themeColor="accent1" w:themeShade="BF"/>
      <w:sz w:val="22"/>
      <w:szCs w:val="22"/>
      <w:lang w:eastAsia="zh-TW"/>
    </w:rPr>
    <w:tblPr>
      <w:tblStyleRowBandSize w:val="1"/>
      <w:tblStyleColBandSize w:val="1"/>
    </w:tblPr>
    <w:tcPr>
      <w:tcBorders>
        <w:left w:val="nil"/>
        <w:right w:val="nil"/>
      </w:tcBorders>
      <w:shd w:val="clear" w:color="auto" w:fill="FADACC" w:themeFill="accent1" w:themeFillTint="3F"/>
    </w:tcPr>
    <w:tblStylePr w:type="firstRow">
      <w:pPr>
        <w:spacing w:before="0" w:after="0" w:line="240" w:lineRule="auto"/>
      </w:pPr>
      <w:rPr>
        <w:b/>
        <w:bCs/>
      </w:rPr>
      <w:tblPr/>
      <w:tcPr>
        <w:tcBorders>
          <w:top w:val="single" w:color="EB6B34" w:themeColor="accent1" w:sz="8" w:space="0"/>
          <w:left w:val="nil"/>
          <w:bottom w:val="single" w:color="EB6B34" w:themeColor="accent1" w:sz="8" w:space="0"/>
          <w:right w:val="nil"/>
          <w:insideH w:val="nil"/>
          <w:insideV w:val="nil"/>
        </w:tcBorders>
      </w:tcPr>
    </w:tblStylePr>
    <w:tblStylePr w:type="lastRow">
      <w:pPr>
        <w:spacing w:before="0" w:after="0" w:line="240" w:lineRule="auto"/>
      </w:pPr>
      <w:rPr>
        <w:b/>
        <w:bCs/>
      </w:rPr>
      <w:tblPr/>
      <w:tcPr>
        <w:tcBorders>
          <w:top w:val="single" w:color="EB6B34" w:themeColor="accent1" w:sz="8" w:space="0"/>
          <w:left w:val="nil"/>
          <w:bottom w:val="single" w:color="EB6B3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ACC" w:themeFill="accent1" w:themeFillTint="3F"/>
      </w:tcPr>
    </w:tblStylePr>
  </w:style>
  <w:style w:type="paragraph" w:styleId="Caption">
    <w:name w:val="caption"/>
    <w:basedOn w:val="Normal"/>
    <w:next w:val="BodyText125"/>
    <w:uiPriority w:val="1"/>
    <w:rsid w:val="005571B6"/>
    <w:pPr>
      <w:keepNext/>
      <w:spacing w:after="240"/>
      <w:jc w:val="center"/>
    </w:pPr>
    <w:rPr>
      <w:bCs/>
      <w:color w:val="auto"/>
      <w:szCs w:val="18"/>
    </w:rPr>
  </w:style>
  <w:style w:type="paragraph" w:styleId="Custom" w:customStyle="1">
    <w:name w:val="Custom"/>
    <w:basedOn w:val="BodyText125"/>
    <w:link w:val="CustomChar"/>
    <w:autoRedefine/>
    <w:uiPriority w:val="4"/>
    <w:qFormat/>
    <w:rsid w:val="00F42FAD"/>
  </w:style>
  <w:style w:type="character" w:styleId="CustomChar" w:customStyle="1">
    <w:name w:val="Custom Char"/>
    <w:basedOn w:val="BodyText125Char"/>
    <w:link w:val="Custom"/>
    <w:uiPriority w:val="4"/>
    <w:rsid w:val="00BF6912"/>
    <w:rPr>
      <w:rFonts w:eastAsia="Times New Roman"/>
      <w:lang w:val="en-CA"/>
    </w:rPr>
  </w:style>
  <w:style w:type="table" w:styleId="Watson12" w:customStyle="1">
    <w:name w:val="Watson1.2"/>
    <w:basedOn w:val="TableNormal"/>
    <w:uiPriority w:val="99"/>
    <w:rsid w:val="007166F5"/>
    <w:pPr>
      <w:jc w:val="center"/>
    </w:pPr>
    <w:tblPr>
      <w:tblStyleRowBandSize w:val="1"/>
      <w:tblStyleColBandSize w:val="1"/>
    </w:tblPr>
    <w:tcPr>
      <w:tcBorders>
        <w:top w:val="single" w:color="425364" w:themeColor="text1" w:sz="4" w:space="0"/>
        <w:left w:val="single" w:color="425364" w:themeColor="text1" w:sz="4" w:space="0"/>
        <w:bottom w:val="single" w:color="425364" w:themeColor="text1" w:sz="4" w:space="0"/>
        <w:right w:val="single" w:color="425364" w:themeColor="text1" w:sz="4" w:space="0"/>
      </w:tcBorders>
      <w:shd w:val="clear" w:color="auto" w:fill="auto"/>
      <w:vAlign w:val="center"/>
    </w:tcPr>
    <w:tblStylePr w:type="firstRow">
      <w:pPr>
        <w:wordWrap/>
        <w:spacing w:before="120" w:beforeLines="0" w:beforeAutospacing="0" w:after="120" w:afterLines="0" w:afterAutospacing="0" w:line="240" w:lineRule="auto"/>
        <w:jc w:val="center"/>
      </w:pPr>
      <w:rPr>
        <w:rFonts w:asciiTheme="majorHAnsi" w:hAnsiTheme="majorHAnsi"/>
        <w:b/>
        <w:bCs/>
        <w:color w:val="FFFFFF" w:themeColor="background1"/>
        <w:sz w:val="24"/>
        <w:szCs w:val="24"/>
      </w:rPr>
      <w:tblPr/>
      <w:trPr>
        <w:cantSplit/>
        <w:tblHeader/>
      </w:trPr>
      <w:tcPr>
        <w:tcBorders>
          <w:top w:val="single" w:color="425364" w:themeColor="text1" w:sz="4" w:space="0"/>
          <w:left w:val="single" w:color="425364" w:themeColor="text1" w:sz="4" w:space="0"/>
          <w:bottom w:val="single" w:color="425364" w:themeColor="text1" w:sz="4" w:space="0"/>
          <w:right w:val="single" w:color="425364" w:themeColor="text1" w:sz="4" w:space="0"/>
          <w:insideH w:val="nil"/>
          <w:insideV w:val="single" w:color="FFFFFF" w:themeColor="background1" w:sz="4" w:space="0"/>
          <w:tl2br w:val="nil"/>
          <w:tr2bl w:val="nil"/>
        </w:tcBorders>
        <w:shd w:val="clear" w:color="auto" w:fill="425364" w:themeFill="text1"/>
      </w:tcPr>
    </w:tblStylePr>
    <w:tblStylePr w:type="lastRow">
      <w:rPr>
        <w:b w:val="0"/>
        <w:bCs/>
      </w:rPr>
      <w:tblPr/>
      <w:tcPr>
        <w:tcBorders>
          <w:top w:val="single" w:color="425364" w:themeColor="text1" w:sz="4" w:space="0"/>
          <w:left w:val="single" w:color="425364" w:themeColor="text1" w:sz="4" w:space="0"/>
          <w:bottom w:val="single" w:color="425364" w:themeColor="text1" w:sz="4" w:space="0"/>
          <w:right w:val="single" w:color="425364" w:themeColor="text1" w:sz="4" w:space="0"/>
          <w:insideH w:val="single" w:color="425364" w:themeColor="text1" w:sz="4" w:space="0"/>
          <w:insideV w:val="single" w:color="425364" w:themeColor="text1" w:sz="4" w:space="0"/>
        </w:tcBorders>
        <w:shd w:val="clear" w:color="auto" w:fill="FFFFFF" w:themeFill="background1"/>
      </w:tcPr>
    </w:tblStylePr>
    <w:tblStylePr w:type="firstCol">
      <w:pPr>
        <w:wordWrap/>
        <w:spacing w:before="0" w:beforeLines="0" w:beforeAutospacing="0" w:after="0" w:afterLines="0" w:afterAutospacing="0" w:line="240" w:lineRule="auto"/>
        <w:ind w:left="0" w:leftChars="0" w:right="0" w:rightChars="0"/>
        <w:contextualSpacing w:val="0"/>
        <w:jc w:val="left"/>
      </w:pPr>
      <w:rPr>
        <w:rFonts w:asciiTheme="majorHAnsi" w:hAnsiTheme="majorHAnsi"/>
        <w:b w:val="0"/>
        <w:bCs/>
        <w:i w:val="0"/>
        <w:color w:val="000000"/>
        <w:spacing w:val="0"/>
        <w:sz w:val="24"/>
      </w:rPr>
      <w:tblPr/>
      <w:tcPr>
        <w:tcBorders>
          <w:top w:val="single" w:color="425364" w:themeColor="text1" w:sz="4" w:space="0"/>
          <w:left w:val="single" w:color="425364" w:themeColor="text1" w:sz="4" w:space="0"/>
          <w:bottom w:val="single" w:color="425364" w:themeColor="text1" w:sz="4" w:space="0"/>
          <w:right w:val="single" w:color="425364" w:themeColor="text1" w:sz="4" w:space="0"/>
          <w:insideH w:val="single" w:color="425364" w:themeColor="text1" w:sz="4" w:space="0"/>
          <w:insideV w:val="single" w:color="425364" w:themeColor="text1" w:sz="4" w:space="0"/>
        </w:tcBorders>
        <w:shd w:val="clear" w:color="auto" w:fill="FFFFFF" w:themeFill="background1"/>
      </w:tcPr>
    </w:tblStylePr>
    <w:tblStylePr w:type="lastCol">
      <w:rPr>
        <w:b w:val="0"/>
        <w:bCs/>
      </w:rPr>
      <w:tblPr/>
      <w:tcPr>
        <w:tcBorders>
          <w:top w:val="single" w:color="425364" w:themeColor="text1" w:sz="4" w:space="0"/>
          <w:left w:val="single" w:color="425364" w:themeColor="text1" w:sz="4" w:space="0"/>
          <w:bottom w:val="single" w:color="425364" w:themeColor="text1" w:sz="4" w:space="0"/>
          <w:right w:val="single" w:color="425364" w:themeColor="text1" w:sz="4" w:space="0"/>
          <w:insideH w:val="single" w:color="425364" w:themeColor="text1" w:sz="4" w:space="0"/>
          <w:insideV w:val="single" w:color="425364" w:themeColor="text1" w:sz="4" w:space="0"/>
        </w:tcBorders>
        <w:shd w:val="clear" w:color="auto" w:fill="FFFFFF" w:themeFill="background1"/>
      </w:tcPr>
    </w:tblStylePr>
    <w:tblStylePr w:type="band1Vert">
      <w:pPr>
        <w:jc w:val="center"/>
      </w:pPr>
      <w:tblPr/>
      <w:tcPr>
        <w:tcBorders>
          <w:top w:val="single" w:color="425364" w:themeColor="text1" w:sz="4" w:space="0"/>
          <w:left w:val="single" w:color="425364" w:themeColor="text1" w:sz="4" w:space="0"/>
          <w:bottom w:val="single" w:color="425364" w:themeColor="text1" w:sz="4" w:space="0"/>
          <w:right w:val="single" w:color="425364" w:themeColor="text1" w:sz="4" w:space="0"/>
          <w:insideH w:val="single" w:color="425364" w:themeColor="text1" w:sz="4" w:space="0"/>
          <w:insideV w:val="single" w:color="425364" w:themeColor="text1" w:sz="4" w:space="0"/>
        </w:tcBorders>
        <w:shd w:val="clear" w:color="auto" w:fill="auto"/>
      </w:tcPr>
    </w:tblStylePr>
    <w:tblStylePr w:type="band2Vert">
      <w:tblPr/>
      <w:tcPr>
        <w:tcBorders>
          <w:top w:val="single" w:color="425364" w:themeColor="text1" w:sz="4" w:space="0"/>
          <w:left w:val="single" w:color="425364" w:themeColor="text1" w:sz="4" w:space="0"/>
          <w:bottom w:val="single" w:color="425364" w:themeColor="text1" w:sz="4" w:space="0"/>
          <w:right w:val="single" w:color="425364" w:themeColor="text1" w:sz="4" w:space="0"/>
          <w:insideH w:val="single" w:color="425364" w:themeColor="text1" w:sz="4" w:space="0"/>
          <w:insideV w:val="single" w:color="425364" w:themeColor="text1" w:sz="4" w:space="0"/>
        </w:tcBorders>
        <w:shd w:val="clear" w:color="auto" w:fill="auto"/>
      </w:tcPr>
    </w:tblStylePr>
    <w:tblStylePr w:type="neCell">
      <w:tblPr/>
      <w:tcPr>
        <w:tcBorders>
          <w:left w:val="nil"/>
          <w:bottom w:val="nil"/>
        </w:tcBorders>
      </w:tcPr>
    </w:tblStylePr>
    <w:tblStylePr w:type="nwCell">
      <w:pPr>
        <w:wordWrap/>
        <w:spacing w:before="120" w:beforeLines="0" w:beforeAutospacing="0" w:after="120" w:afterLines="0" w:afterAutospacing="0" w:line="240" w:lineRule="auto"/>
        <w:jc w:val="center"/>
      </w:pPr>
      <w:rPr>
        <w:rFonts w:asciiTheme="majorHAnsi" w:hAnsiTheme="majorHAnsi"/>
        <w:b/>
        <w:color w:val="FFFFFF" w:themeColor="background1"/>
        <w:sz w:val="24"/>
      </w:rPr>
      <w:tblPr/>
      <w:tcPr>
        <w:shd w:val="clear" w:color="auto" w:fill="425364" w:themeFill="text1"/>
      </w:tcPr>
    </w:tblStylePr>
    <w:tblStylePr w:type="seCell">
      <w:tblPr/>
      <w:tcPr>
        <w:tcBorders>
          <w:top w:val="single" w:color="425364" w:themeColor="text1" w:sz="4" w:space="0"/>
          <w:left w:val="single" w:color="425364" w:themeColor="text1" w:sz="4" w:space="0"/>
          <w:bottom w:val="single" w:color="425364" w:themeColor="text1" w:sz="4" w:space="0"/>
          <w:right w:val="single" w:color="425364" w:themeColor="text1" w:sz="4" w:space="0"/>
          <w:insideH w:val="single" w:color="425364" w:themeColor="text1" w:sz="4" w:space="0"/>
          <w:insideV w:val="single" w:color="425364" w:themeColor="text1" w:sz="4" w:space="0"/>
        </w:tcBorders>
        <w:shd w:val="clear" w:color="auto" w:fill="auto"/>
      </w:tcPr>
    </w:tblStylePr>
    <w:tblStylePr w:type="swCell">
      <w:tblPr/>
      <w:tcPr>
        <w:tcBorders>
          <w:top w:val="single" w:color="425364" w:themeColor="text1" w:sz="4" w:space="0"/>
          <w:left w:val="single" w:color="425364" w:themeColor="text1" w:sz="4" w:space="0"/>
          <w:bottom w:val="single" w:color="425364" w:themeColor="text1" w:sz="4" w:space="0"/>
          <w:right w:val="single" w:color="425364" w:themeColor="text1" w:sz="4" w:space="0"/>
          <w:insideH w:val="single" w:color="425364" w:themeColor="text1" w:sz="4" w:space="0"/>
          <w:insideV w:val="single" w:color="425364" w:themeColor="text1" w:sz="4" w:space="0"/>
        </w:tcBorders>
        <w:shd w:val="clear" w:color="auto" w:fill="auto"/>
      </w:tcPr>
    </w:tblStylePr>
  </w:style>
  <w:style w:type="table" w:styleId="Watson21" w:customStyle="1">
    <w:name w:val="Watson2.1"/>
    <w:basedOn w:val="Watson11"/>
    <w:uiPriority w:val="99"/>
    <w:rsid w:val="000410D6"/>
    <w:tblPr>
      <w:tbl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EB6B34" w:themeColor="accent1" w:sz="4" w:space="0"/>
      </w:tblBorders>
    </w:tblPr>
    <w:tcPr>
      <w:shd w:val="clear" w:color="auto" w:fill="auto"/>
    </w:tcPr>
    <w:tblStylePr w:type="firstRow">
      <w:pPr>
        <w:wordWrap/>
        <w:spacing w:before="120" w:beforeLines="0" w:beforeAutospacing="0" w:after="120" w:afterLines="0" w:afterAutospacing="0" w:line="240" w:lineRule="auto"/>
        <w:jc w:val="center"/>
      </w:pPr>
      <w:rPr>
        <w:rFonts w:asciiTheme="majorHAnsi" w:hAnsiTheme="majorHAnsi"/>
        <w:b/>
        <w:bCs/>
        <w:color w:val="212931" w:themeColor="text1" w:themeShade="80"/>
        <w:sz w:val="24"/>
        <w:szCs w:val="24"/>
      </w:rPr>
      <w:tblPr/>
      <w:trPr>
        <w:cantSplit/>
        <w:tblHeader/>
      </w:trPr>
      <w:tcPr>
        <w:tc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FFFFFF" w:themeColor="background1" w:sz="4" w:space="0"/>
          <w:tl2br w:val="nil"/>
          <w:tr2bl w:val="nil"/>
        </w:tcBorders>
        <w:shd w:val="clear" w:color="auto" w:fill="EB6B34" w:themeFill="accent1"/>
      </w:tcPr>
    </w:tblStylePr>
    <w:tblStylePr w:type="lastRow">
      <w:pPr>
        <w:jc w:val="left"/>
      </w:pPr>
      <w:rPr>
        <w:rFonts w:ascii="Arial" w:hAnsi="Arial"/>
        <w:sz w:val="24"/>
      </w:rPr>
    </w:tblStylePr>
    <w:tblStylePr w:type="firstCol">
      <w:pPr>
        <w:wordWrap/>
        <w:spacing w:before="0" w:beforeLines="0" w:beforeAutospacing="0" w:after="0" w:afterLines="0" w:afterAutospacing="0" w:line="240" w:lineRule="auto"/>
        <w:jc w:val="left"/>
      </w:pPr>
      <w:rPr>
        <w:rFonts w:asciiTheme="majorHAnsi" w:hAnsiTheme="majorHAnsi"/>
        <w:b/>
        <w:color w:val="212931" w:themeColor="text1" w:themeShade="80"/>
        <w:sz w:val="24"/>
      </w:rPr>
      <w:tblPr/>
      <w:tcPr>
        <w:shd w:val="clear" w:color="auto" w:fill="F3A585" w:themeFill="accent1" w:themeFillTint="99"/>
        <w:noWrap/>
        <w:tcMar>
          <w:top w:w="0" w:type="nil"/>
          <w:left w:w="115" w:type="dxa"/>
          <w:bottom w:w="0" w:type="nil"/>
          <w:right w:w="115" w:type="dxa"/>
        </w:tcMar>
      </w:tcPr>
    </w:tblStylePr>
    <w:tblStylePr w:type="lastCol">
      <w:pPr>
        <w:jc w:val="left"/>
      </w:pPr>
      <w:rPr>
        <w:rFonts w:ascii="Arial" w:hAnsi="Arial"/>
        <w:color w:val="auto"/>
        <w:sz w:val="24"/>
      </w:rPr>
    </w:tblStylePr>
    <w:tblStylePr w:type="nwCell">
      <w:pPr>
        <w:wordWrap/>
        <w:spacing w:before="120" w:beforeLines="0" w:beforeAutospacing="0" w:after="120" w:afterLines="0" w:afterAutospacing="0" w:line="240" w:lineRule="auto"/>
        <w:jc w:val="left"/>
      </w:pPr>
      <w:rPr>
        <w:rFonts w:asciiTheme="majorHAnsi" w:hAnsiTheme="majorHAnsi"/>
        <w:b/>
        <w:color w:val="212931" w:themeColor="text1" w:themeShade="80"/>
        <w:sz w:val="24"/>
      </w:rPr>
      <w:tblPr/>
      <w:tcPr>
        <w:shd w:val="clear" w:color="auto" w:fill="EB6B34" w:themeFill="accent1"/>
        <w:vAlign w:val="bottom"/>
      </w:tcPr>
    </w:tblStylePr>
  </w:style>
  <w:style w:type="table" w:styleId="Watson31" w:customStyle="1">
    <w:name w:val="Watson3.1"/>
    <w:basedOn w:val="Watson11"/>
    <w:uiPriority w:val="99"/>
    <w:rsid w:val="006E7CCE"/>
    <w:tblPr>
      <w:tbl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blBorders>
    </w:tblPr>
    <w:tcPr>
      <w:shd w:val="clear" w:color="auto" w:fill="auto"/>
    </w:tcPr>
    <w:tblStylePr w:type="firstRow">
      <w:pPr>
        <w:wordWrap/>
        <w:spacing w:before="120" w:beforeLines="0" w:beforeAutospacing="0" w:after="120" w:afterLines="0" w:afterAutospacing="0" w:line="240" w:lineRule="auto"/>
        <w:jc w:val="center"/>
      </w:pPr>
      <w:rPr>
        <w:rFonts w:asciiTheme="majorHAnsi" w:hAnsiTheme="majorHAnsi"/>
        <w:b/>
        <w:bCs/>
        <w:color w:val="212931" w:themeColor="text1" w:themeShade="80"/>
        <w:sz w:val="24"/>
        <w:szCs w:val="24"/>
      </w:rPr>
      <w:tblPr/>
      <w:trPr>
        <w:cantSplit/>
        <w:tblHeader/>
      </w:tr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FFFFFF" w:themeColor="background1" w:sz="4" w:space="0"/>
          <w:tl2br w:val="nil"/>
          <w:tr2bl w:val="nil"/>
        </w:tcBorders>
        <w:shd w:val="clear" w:color="auto" w:fill="35A0A4" w:themeFill="accent2"/>
      </w:tcPr>
    </w:tblStylePr>
    <w:tblStylePr w:type="lastRow">
      <w:pPr>
        <w:jc w:val="left"/>
      </w:pPr>
      <w:rPr>
        <w:rFonts w:ascii="Arial" w:hAnsi="Arial"/>
        <w:sz w:val="24"/>
      </w:rPr>
    </w:tblStylePr>
    <w:tblStylePr w:type="firstCol">
      <w:pPr>
        <w:wordWrap/>
        <w:spacing w:before="0" w:beforeLines="0" w:beforeAutospacing="0" w:after="0" w:afterLines="0" w:afterAutospacing="0" w:line="240" w:lineRule="auto"/>
        <w:jc w:val="left"/>
      </w:pPr>
      <w:rPr>
        <w:rFonts w:asciiTheme="majorHAnsi" w:hAnsiTheme="majorHAnsi"/>
        <w:b/>
        <w:color w:val="212931" w:themeColor="text1" w:themeShade="80"/>
        <w:sz w:val="24"/>
      </w:rPr>
      <w:tblPr/>
      <w:tcPr>
        <w:shd w:val="clear" w:color="auto" w:fill="A6DFE2" w:themeFill="accent2" w:themeFillTint="66"/>
        <w:noWrap/>
        <w:tcMar>
          <w:top w:w="0" w:type="nil"/>
          <w:left w:w="115" w:type="dxa"/>
          <w:bottom w:w="0" w:type="nil"/>
          <w:right w:w="115" w:type="dxa"/>
        </w:tcMar>
      </w:tcPr>
    </w:tblStylePr>
    <w:tblStylePr w:type="lastCol">
      <w:pPr>
        <w:jc w:val="left"/>
      </w:pPr>
      <w:rPr>
        <w:rFonts w:ascii="Arial" w:hAnsi="Arial"/>
        <w:color w:val="auto"/>
        <w:sz w:val="24"/>
      </w:rPr>
    </w:tblStylePr>
    <w:tblStylePr w:type="nwCell">
      <w:pPr>
        <w:wordWrap/>
        <w:spacing w:before="120" w:beforeLines="0" w:beforeAutospacing="0" w:after="120" w:afterLines="0" w:afterAutospacing="0" w:line="240" w:lineRule="auto"/>
        <w:jc w:val="left"/>
      </w:pPr>
      <w:rPr>
        <w:rFonts w:asciiTheme="majorHAnsi" w:hAnsiTheme="majorHAnsi"/>
        <w:b/>
        <w:color w:val="212931" w:themeColor="text1" w:themeShade="80"/>
        <w:sz w:val="24"/>
      </w:rPr>
      <w:tblPr/>
      <w:tcPr>
        <w:shd w:val="clear" w:color="auto" w:fill="35A0A4" w:themeFill="accent2"/>
        <w:vAlign w:val="bottom"/>
      </w:tcPr>
    </w:tblStylePr>
  </w:style>
  <w:style w:type="table" w:styleId="Watson41" w:customStyle="1">
    <w:name w:val="Watson4.1"/>
    <w:basedOn w:val="Watson11"/>
    <w:uiPriority w:val="99"/>
    <w:rsid w:val="008F2324"/>
    <w:tblPr/>
    <w:tcPr>
      <w:shd w:val="clear" w:color="auto" w:fill="FFFFFF" w:themeFill="accent3" w:themeFillTint="99"/>
      <w:noWrap/>
      <w:tcMar>
        <w:left w:w="115" w:type="dxa"/>
        <w:right w:w="115" w:type="dxa"/>
      </w:tcMar>
    </w:tcPr>
    <w:tblStylePr w:type="firstRow">
      <w:pPr>
        <w:wordWrap/>
        <w:spacing w:before="120" w:beforeLines="0" w:beforeAutospacing="0" w:after="120" w:afterLines="0" w:afterAutospacing="0" w:line="240" w:lineRule="auto"/>
        <w:jc w:val="center"/>
      </w:pPr>
      <w:rPr>
        <w:rFonts w:asciiTheme="majorHAnsi" w:hAnsiTheme="majorHAnsi"/>
        <w:b/>
        <w:bCs/>
        <w:color w:val="FFFFFF" w:themeColor="background1"/>
        <w:sz w:val="24"/>
        <w:szCs w:val="24"/>
      </w:rPr>
      <w:tblPr/>
      <w:trPr>
        <w:cantSplit/>
        <w:tblHeader/>
      </w:tr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nil"/>
          <w:insideV w:val="single" w:color="FFFFFF" w:themeColor="background1" w:sz="4" w:space="0"/>
          <w:tl2br w:val="nil"/>
          <w:tr2bl w:val="nil"/>
        </w:tcBorders>
        <w:shd w:val="clear" w:color="auto" w:fill="FFFFFF" w:themeFill="accent3"/>
      </w:tcPr>
    </w:tblStylePr>
    <w:tblStylePr w:type="lastRow">
      <w:pPr>
        <w:jc w:val="left"/>
      </w:pPr>
      <w:rPr>
        <w:rFonts w:ascii="Arial" w:hAnsi="Arial"/>
        <w:sz w:val="24"/>
      </w:rPr>
    </w:tblStylePr>
    <w:tblStylePr w:type="firstCol">
      <w:pPr>
        <w:wordWrap/>
        <w:spacing w:before="0" w:beforeLines="0" w:beforeAutospacing="0" w:after="0" w:afterLines="0" w:afterAutospacing="0" w:line="240" w:lineRule="auto"/>
        <w:jc w:val="left"/>
      </w:pPr>
      <w:rPr>
        <w:rFonts w:asciiTheme="majorHAnsi" w:hAnsiTheme="majorHAnsi"/>
        <w:b/>
        <w:color w:val="212931" w:themeColor="text1" w:themeShade="80"/>
        <w:sz w:val="24"/>
      </w:rPr>
    </w:tblStylePr>
    <w:tblStylePr w:type="lastCol">
      <w:pPr>
        <w:jc w:val="left"/>
      </w:pPr>
      <w:rPr>
        <w:rFonts w:ascii="Arial" w:hAnsi="Arial"/>
        <w:color w:val="auto"/>
        <w:sz w:val="24"/>
      </w:rPr>
    </w:tblStylePr>
    <w:tblStylePr w:type="nwCell">
      <w:pPr>
        <w:wordWrap/>
        <w:spacing w:before="120" w:beforeLines="0" w:beforeAutospacing="0" w:after="120" w:afterLines="0" w:afterAutospacing="0" w:line="240" w:lineRule="auto"/>
        <w:jc w:val="left"/>
      </w:pPr>
      <w:rPr>
        <w:rFonts w:asciiTheme="majorHAnsi" w:hAnsiTheme="majorHAnsi"/>
        <w:b/>
        <w:color w:val="FFFFFF" w:themeColor="background1"/>
        <w:sz w:val="24"/>
      </w:rPr>
      <w:tblPr/>
      <w:tcPr>
        <w:shd w:val="clear" w:color="auto" w:fill="FFFFFF" w:themeFill="accent3"/>
        <w:vAlign w:val="bottom"/>
      </w:tcPr>
    </w:tblStylePr>
  </w:style>
  <w:style w:type="table" w:styleId="Watson51" w:customStyle="1">
    <w:name w:val="Watson5.1"/>
    <w:basedOn w:val="Watson11"/>
    <w:uiPriority w:val="99"/>
    <w:rsid w:val="006E7CCE"/>
    <w:tblPr/>
    <w:tcPr>
      <w:shd w:val="clear" w:color="auto" w:fill="B4C996" w:themeFill="accent4" w:themeFillTint="99"/>
      <w:noWrap/>
      <w:tcMar>
        <w:left w:w="115" w:type="dxa"/>
        <w:right w:w="115" w:type="dxa"/>
      </w:tcMar>
    </w:tcPr>
    <w:tblStylePr w:type="firstRow">
      <w:pPr>
        <w:wordWrap/>
        <w:spacing w:before="120" w:beforeLines="0" w:beforeAutospacing="0" w:after="120" w:afterLines="0" w:afterAutospacing="0" w:line="240" w:lineRule="auto"/>
        <w:jc w:val="center"/>
      </w:pPr>
      <w:rPr>
        <w:rFonts w:asciiTheme="majorHAnsi" w:hAnsiTheme="majorHAnsi"/>
        <w:b/>
        <w:bCs/>
        <w:color w:val="212931" w:themeColor="text1" w:themeShade="80"/>
        <w:sz w:val="24"/>
        <w:szCs w:val="24"/>
      </w:rPr>
      <w:tblPr/>
      <w:trPr>
        <w:cantSplit/>
        <w:tblHeader/>
      </w:tr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nil"/>
          <w:insideV w:val="single" w:color="FFFFFF" w:themeColor="background1" w:sz="4" w:space="0"/>
          <w:tl2br w:val="nil"/>
          <w:tr2bl w:val="nil"/>
        </w:tcBorders>
        <w:shd w:val="clear" w:color="auto" w:fill="83A354" w:themeFill="accent4"/>
      </w:tcPr>
    </w:tblStylePr>
    <w:tblStylePr w:type="lastRow">
      <w:pPr>
        <w:jc w:val="left"/>
      </w:pPr>
      <w:rPr>
        <w:rFonts w:ascii="Arial" w:hAnsi="Arial"/>
        <w:sz w:val="24"/>
      </w:rPr>
    </w:tblStylePr>
    <w:tblStylePr w:type="firstCol">
      <w:pPr>
        <w:wordWrap/>
        <w:spacing w:before="0" w:beforeLines="0" w:beforeAutospacing="0" w:after="0" w:afterLines="0" w:afterAutospacing="0" w:line="240" w:lineRule="auto"/>
        <w:jc w:val="left"/>
      </w:pPr>
      <w:rPr>
        <w:rFonts w:asciiTheme="majorHAnsi" w:hAnsiTheme="majorHAnsi"/>
        <w:b/>
        <w:color w:val="212931" w:themeColor="text1" w:themeShade="80"/>
        <w:sz w:val="24"/>
      </w:rPr>
    </w:tblStylePr>
    <w:tblStylePr w:type="lastCol">
      <w:pPr>
        <w:jc w:val="left"/>
      </w:pPr>
      <w:rPr>
        <w:rFonts w:ascii="Arial" w:hAnsi="Arial"/>
        <w:color w:val="auto"/>
        <w:sz w:val="24"/>
      </w:rPr>
    </w:tblStylePr>
    <w:tblStylePr w:type="nwCell">
      <w:pPr>
        <w:wordWrap/>
        <w:spacing w:before="120" w:beforeLines="0" w:beforeAutospacing="0" w:after="120" w:afterLines="0" w:afterAutospacing="0" w:line="240" w:lineRule="auto"/>
        <w:jc w:val="left"/>
      </w:pPr>
      <w:rPr>
        <w:rFonts w:asciiTheme="majorHAnsi" w:hAnsiTheme="majorHAnsi"/>
        <w:b/>
        <w:color w:val="212931" w:themeColor="text1" w:themeShade="80"/>
        <w:sz w:val="24"/>
      </w:rPr>
      <w:tblPr/>
      <w:tcPr>
        <w:shd w:val="clear" w:color="auto" w:fill="83A354" w:themeFill="accent4"/>
        <w:vAlign w:val="bottom"/>
      </w:tcPr>
    </w:tblStylePr>
  </w:style>
  <w:style w:type="table" w:styleId="Watson61" w:customStyle="1">
    <w:name w:val="Watson6.1"/>
    <w:basedOn w:val="Watson11"/>
    <w:uiPriority w:val="99"/>
    <w:rsid w:val="008F2324"/>
    <w:tblPr>
      <w:tbl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blBorders>
    </w:tblPr>
    <w:tcPr>
      <w:shd w:val="clear" w:color="auto" w:fill="auto"/>
    </w:tcPr>
    <w:tblStylePr w:type="firstRow">
      <w:pPr>
        <w:wordWrap/>
        <w:spacing w:before="120" w:beforeLines="0" w:beforeAutospacing="0" w:after="120" w:afterLines="0" w:afterAutospacing="0" w:line="240" w:lineRule="auto"/>
        <w:jc w:val="center"/>
      </w:pPr>
      <w:rPr>
        <w:rFonts w:asciiTheme="majorHAnsi" w:hAnsiTheme="majorHAnsi"/>
        <w:b/>
        <w:bCs/>
        <w:color w:val="FFFFFF" w:themeColor="background1"/>
        <w:sz w:val="24"/>
        <w:szCs w:val="24"/>
      </w:rPr>
      <w:tblPr/>
      <w:trPr>
        <w:cantSplit/>
        <w:tblHeader/>
      </w:tr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nil"/>
          <w:insideV w:val="single" w:color="FFFFFF" w:themeColor="background1" w:sz="4" w:space="0"/>
          <w:tl2br w:val="nil"/>
          <w:tr2bl w:val="nil"/>
        </w:tcBorders>
        <w:shd w:val="clear" w:color="auto" w:fill="434F7F" w:themeFill="accent5"/>
      </w:tcPr>
    </w:tblStylePr>
    <w:tblStylePr w:type="lastRow">
      <w:pPr>
        <w:jc w:val="left"/>
      </w:pPr>
      <w:rPr>
        <w:rFonts w:ascii="Arial" w:hAnsi="Arial"/>
        <w:sz w:val="24"/>
      </w:rPr>
    </w:tblStylePr>
    <w:tblStylePr w:type="firstCol">
      <w:pPr>
        <w:wordWrap/>
        <w:spacing w:before="0" w:beforeLines="0" w:beforeAutospacing="0" w:after="0" w:afterLines="0" w:afterAutospacing="0" w:line="240" w:lineRule="auto"/>
        <w:jc w:val="left"/>
      </w:pPr>
      <w:rPr>
        <w:rFonts w:asciiTheme="majorHAnsi" w:hAnsiTheme="majorHAnsi"/>
        <w:b/>
        <w:color w:val="212931" w:themeColor="text1" w:themeShade="80"/>
        <w:sz w:val="24"/>
      </w:rPr>
      <w:tblPr/>
      <w:tcPr>
        <w:shd w:val="clear" w:color="auto" w:fill="828EBD" w:themeFill="accent5" w:themeFillTint="99"/>
        <w:noWrap/>
        <w:tcMar>
          <w:top w:w="0" w:type="nil"/>
          <w:left w:w="115" w:type="dxa"/>
          <w:bottom w:w="0" w:type="nil"/>
          <w:right w:w="115" w:type="dxa"/>
        </w:tcMar>
      </w:tcPr>
    </w:tblStylePr>
    <w:tblStylePr w:type="lastCol">
      <w:pPr>
        <w:jc w:val="left"/>
      </w:pPr>
      <w:rPr>
        <w:rFonts w:ascii="Arial" w:hAnsi="Arial"/>
        <w:color w:val="auto"/>
        <w:sz w:val="24"/>
      </w:rPr>
    </w:tblStylePr>
    <w:tblStylePr w:type="nwCell">
      <w:pPr>
        <w:wordWrap/>
        <w:spacing w:before="120" w:beforeLines="0" w:beforeAutospacing="0" w:after="120" w:afterLines="0" w:afterAutospacing="0" w:line="240" w:lineRule="auto"/>
        <w:jc w:val="left"/>
      </w:pPr>
      <w:rPr>
        <w:rFonts w:asciiTheme="majorHAnsi" w:hAnsiTheme="majorHAnsi"/>
        <w:b/>
        <w:color w:val="FFFFFF" w:themeColor="background1"/>
        <w:sz w:val="24"/>
      </w:rPr>
      <w:tblPr/>
      <w:tcPr>
        <w:shd w:val="clear" w:color="auto" w:fill="434F7F" w:themeFill="accent5"/>
        <w:vAlign w:val="bottom"/>
      </w:tcPr>
    </w:tblStylePr>
  </w:style>
  <w:style w:type="table" w:styleId="Watson71" w:customStyle="1">
    <w:name w:val="Watson7.1"/>
    <w:basedOn w:val="Watson11"/>
    <w:uiPriority w:val="99"/>
    <w:rsid w:val="008F2324"/>
    <w:tblPr>
      <w:tbl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blBorders>
    </w:tblPr>
    <w:tcPr>
      <w:shd w:val="clear" w:color="auto" w:fill="auto"/>
    </w:tcPr>
    <w:tblStylePr w:type="firstRow">
      <w:pPr>
        <w:wordWrap/>
        <w:spacing w:before="120" w:beforeLines="0" w:beforeAutospacing="0" w:after="120" w:afterLines="0" w:afterAutospacing="0" w:line="240" w:lineRule="auto"/>
        <w:jc w:val="center"/>
      </w:pPr>
      <w:rPr>
        <w:rFonts w:asciiTheme="majorHAnsi" w:hAnsiTheme="majorHAnsi"/>
        <w:b/>
        <w:bCs/>
        <w:color w:val="FFFFFF" w:themeColor="background1"/>
        <w:sz w:val="24"/>
        <w:szCs w:val="24"/>
      </w:rPr>
      <w:tblPr/>
      <w:trPr>
        <w:cantSplit/>
        <w:tblHeader/>
      </w:tr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nil"/>
          <w:insideV w:val="single" w:color="FFFFFF" w:themeColor="background1" w:sz="4" w:space="0"/>
          <w:tl2br w:val="nil"/>
          <w:tr2bl w:val="nil"/>
        </w:tcBorders>
        <w:shd w:val="clear" w:color="auto" w:fill="2E826B" w:themeFill="accent6"/>
      </w:tcPr>
    </w:tblStylePr>
    <w:tblStylePr w:type="lastRow">
      <w:pPr>
        <w:jc w:val="left"/>
      </w:pPr>
      <w:rPr>
        <w:rFonts w:ascii="Arial" w:hAnsi="Arial"/>
        <w:sz w:val="24"/>
      </w:rPr>
    </w:tblStylePr>
    <w:tblStylePr w:type="firstCol">
      <w:pPr>
        <w:wordWrap/>
        <w:spacing w:before="0" w:beforeLines="0" w:beforeAutospacing="0" w:after="0" w:afterLines="0" w:afterAutospacing="0" w:line="240" w:lineRule="auto"/>
        <w:jc w:val="left"/>
      </w:pPr>
      <w:rPr>
        <w:rFonts w:asciiTheme="majorHAnsi" w:hAnsiTheme="majorHAnsi"/>
        <w:b/>
        <w:color w:val="212931" w:themeColor="text1" w:themeShade="80"/>
        <w:sz w:val="24"/>
      </w:rPr>
      <w:tblPr/>
      <w:tcPr>
        <w:shd w:val="clear" w:color="auto" w:fill="6ACAB0" w:themeFill="accent6" w:themeFillTint="99"/>
        <w:noWrap/>
        <w:tcMar>
          <w:top w:w="0" w:type="nil"/>
          <w:left w:w="115" w:type="dxa"/>
          <w:bottom w:w="0" w:type="nil"/>
          <w:right w:w="115" w:type="dxa"/>
        </w:tcMar>
      </w:tcPr>
    </w:tblStylePr>
    <w:tblStylePr w:type="lastCol">
      <w:pPr>
        <w:jc w:val="left"/>
      </w:pPr>
      <w:rPr>
        <w:rFonts w:ascii="Arial" w:hAnsi="Arial"/>
        <w:color w:val="auto"/>
        <w:sz w:val="24"/>
      </w:rPr>
    </w:tblStylePr>
    <w:tblStylePr w:type="nwCell">
      <w:pPr>
        <w:wordWrap/>
        <w:spacing w:before="120" w:beforeLines="0" w:beforeAutospacing="0" w:after="120" w:afterLines="0" w:afterAutospacing="0" w:line="240" w:lineRule="auto"/>
        <w:jc w:val="left"/>
      </w:pPr>
      <w:rPr>
        <w:rFonts w:asciiTheme="majorHAnsi" w:hAnsiTheme="majorHAnsi"/>
        <w:b/>
        <w:color w:val="FFFFFF" w:themeColor="background1"/>
        <w:sz w:val="24"/>
      </w:rPr>
      <w:tblPr/>
      <w:tcPr>
        <w:shd w:val="clear" w:color="auto" w:fill="2E826B" w:themeFill="accent6"/>
        <w:vAlign w:val="bottom"/>
      </w:tcPr>
    </w:tblStylePr>
  </w:style>
  <w:style w:type="table" w:styleId="Watson22" w:customStyle="1">
    <w:name w:val="Watson2.2"/>
    <w:basedOn w:val="Watson12"/>
    <w:uiPriority w:val="99"/>
    <w:rsid w:val="006E7CCE"/>
    <w:tblPr>
      <w:tbl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EB6B34" w:themeColor="accent1" w:sz="4" w:space="0"/>
      </w:tblBorders>
    </w:tblPr>
    <w:tblStylePr w:type="firstRow">
      <w:pPr>
        <w:wordWrap/>
        <w:spacing w:before="120" w:beforeLines="0" w:beforeAutospacing="0" w:after="120" w:afterLines="0" w:afterAutospacing="0" w:line="240" w:lineRule="auto"/>
        <w:jc w:val="center"/>
      </w:pPr>
      <w:rPr>
        <w:rFonts w:asciiTheme="majorHAnsi" w:hAnsiTheme="majorHAnsi"/>
        <w:b/>
        <w:bCs/>
        <w:color w:val="212931" w:themeColor="text1" w:themeShade="80"/>
        <w:sz w:val="24"/>
        <w:szCs w:val="24"/>
      </w:rPr>
      <w:tblPr/>
      <w:trPr>
        <w:cantSplit/>
        <w:tblHeader/>
      </w:trPr>
      <w:tcPr>
        <w:tcBorders>
          <w:top w:val="single" w:color="EB6B34" w:themeColor="accent1" w:sz="4" w:space="0"/>
          <w:left w:val="single" w:color="EB6B34" w:themeColor="accent1" w:sz="4" w:space="0"/>
          <w:bottom w:val="single" w:color="EB6B34" w:themeColor="accent1" w:sz="4" w:space="0"/>
          <w:right w:val="single" w:color="EB6B34" w:themeColor="accent1" w:sz="4" w:space="0"/>
          <w:insideH w:val="nil"/>
          <w:insideV w:val="single" w:color="FFFFFF" w:themeColor="background1" w:sz="4" w:space="0"/>
          <w:tl2br w:val="nil"/>
          <w:tr2bl w:val="nil"/>
        </w:tcBorders>
        <w:shd w:val="clear" w:color="auto" w:fill="EB6B34" w:themeFill="accent1"/>
      </w:tcPr>
    </w:tblStylePr>
    <w:tblStylePr w:type="lastRow">
      <w:rPr>
        <w:b/>
        <w:bCs/>
      </w:rPr>
      <w:tblPr/>
      <w:tcPr>
        <w:tc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EB6B34" w:themeColor="accent1" w:sz="4" w:space="0"/>
        </w:tcBorders>
        <w:shd w:val="clear" w:color="auto" w:fill="FFFFFF" w:themeFill="background1"/>
      </w:tcPr>
    </w:tblStylePr>
    <w:tblStylePr w:type="firstCol">
      <w:pPr>
        <w:wordWrap/>
        <w:spacing w:before="0" w:beforeLines="0" w:beforeAutospacing="0" w:after="0" w:afterLines="0" w:afterAutospacing="0" w:line="240" w:lineRule="auto"/>
        <w:ind w:left="0" w:leftChars="0" w:right="0" w:rightChars="0"/>
        <w:contextualSpacing w:val="0"/>
        <w:jc w:val="center"/>
      </w:pPr>
      <w:rPr>
        <w:rFonts w:asciiTheme="majorHAnsi" w:hAnsiTheme="majorHAnsi"/>
        <w:b/>
        <w:bCs/>
        <w:i w:val="0"/>
        <w:color w:val="6E6E6E" w:themeColor="background2"/>
        <w:spacing w:val="0"/>
        <w:sz w:val="24"/>
      </w:rPr>
      <w:tblPr/>
      <w:tcPr>
        <w:tcBorders>
          <w:top w:val="single" w:color="425364" w:themeColor="text1" w:sz="4" w:space="0"/>
          <w:left w:val="single" w:color="425364" w:themeColor="text1" w:sz="4" w:space="0"/>
          <w:bottom w:val="single" w:color="425364" w:themeColor="text1" w:sz="4" w:space="0"/>
          <w:right w:val="nil"/>
          <w:insideH w:val="single" w:color="425364" w:themeColor="text1" w:sz="4" w:space="0"/>
          <w:insideV w:val="single" w:color="425364" w:themeColor="text1" w:sz="4" w:space="0"/>
        </w:tcBorders>
        <w:shd w:val="clear" w:color="auto" w:fill="FFFFFF" w:themeFill="background1"/>
      </w:tcPr>
    </w:tblStylePr>
    <w:tblStylePr w:type="lastCol">
      <w:rPr>
        <w:b/>
        <w:bCs/>
      </w:rPr>
      <w:tblPr/>
      <w:tcPr>
        <w:tc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EB6B34" w:themeColor="accent1" w:sz="4" w:space="0"/>
        </w:tcBorders>
        <w:shd w:val="clear" w:color="auto" w:fill="FFFFFF" w:themeFill="background1"/>
      </w:tcPr>
    </w:tblStylePr>
    <w:tblStylePr w:type="band1Vert">
      <w:pPr>
        <w:jc w:val="center"/>
      </w:pPr>
      <w:tblPr/>
      <w:tcPr>
        <w:tc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EB6B34" w:themeColor="accent1" w:sz="4" w:space="0"/>
        </w:tcBorders>
        <w:shd w:val="clear" w:color="auto" w:fill="auto"/>
      </w:tcPr>
    </w:tblStylePr>
    <w:tblStylePr w:type="band2Vert">
      <w:tblPr/>
      <w:tcPr>
        <w:tc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EB6B34" w:themeColor="accent1" w:sz="4" w:space="0"/>
        </w:tcBorders>
        <w:shd w:val="clear" w:color="auto" w:fill="auto"/>
      </w:tcPr>
    </w:tblStylePr>
    <w:tblStylePr w:type="band1Horz">
      <w:tblPr/>
      <w:tcPr>
        <w:tc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EB6B34" w:themeColor="accent1" w:sz="4" w:space="0"/>
        </w:tcBorders>
        <w:shd w:val="clear" w:color="auto" w:fill="auto"/>
      </w:tcPr>
    </w:tblStylePr>
    <w:tblStylePr w:type="band2Horz">
      <w:tblPr/>
      <w:tcPr>
        <w:tc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EB6B34" w:themeColor="accent1" w:sz="4" w:space="0"/>
        </w:tcBorders>
        <w:shd w:val="clear" w:color="auto" w:fill="auto"/>
      </w:tcPr>
    </w:tblStylePr>
    <w:tblStylePr w:type="neCell">
      <w:tblPr/>
      <w:tcPr>
        <w:tcBorders>
          <w:left w:val="nil"/>
          <w:bottom w:val="nil"/>
        </w:tcBorders>
      </w:tcPr>
    </w:tblStylePr>
    <w:tblStylePr w:type="nwCell">
      <w:pPr>
        <w:wordWrap/>
        <w:spacing w:before="120" w:beforeLines="0" w:beforeAutospacing="0" w:after="120" w:afterLines="0" w:afterAutospacing="0" w:line="240" w:lineRule="auto"/>
        <w:jc w:val="center"/>
      </w:pPr>
      <w:rPr>
        <w:rFonts w:asciiTheme="majorHAnsi" w:hAnsiTheme="majorHAnsi"/>
        <w:b/>
        <w:color w:val="212931" w:themeColor="text1" w:themeShade="80"/>
        <w:sz w:val="24"/>
      </w:rPr>
      <w:tblPr/>
      <w:tcPr>
        <w:tcBorders>
          <w:bottom w:val="nil"/>
          <w:right w:val="nil"/>
        </w:tcBorders>
        <w:shd w:val="clear" w:color="auto" w:fill="EB6B34" w:themeFill="accent1"/>
      </w:tcPr>
    </w:tblStylePr>
    <w:tblStylePr w:type="seCell">
      <w:tblPr/>
      <w:tcPr>
        <w:tc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EB6B34" w:themeColor="accent1" w:sz="4" w:space="0"/>
        </w:tcBorders>
        <w:shd w:val="clear" w:color="auto" w:fill="auto"/>
      </w:tcPr>
    </w:tblStylePr>
    <w:tblStylePr w:type="swCell">
      <w:tblPr/>
      <w:tcPr>
        <w:tcBorders>
          <w:top w:val="single" w:color="EB6B34" w:themeColor="accent1" w:sz="4" w:space="0"/>
          <w:left w:val="single" w:color="EB6B34" w:themeColor="accent1" w:sz="4" w:space="0"/>
          <w:bottom w:val="single" w:color="EB6B34" w:themeColor="accent1" w:sz="4" w:space="0"/>
          <w:right w:val="single" w:color="EB6B34" w:themeColor="accent1" w:sz="4" w:space="0"/>
          <w:insideH w:val="single" w:color="EB6B34" w:themeColor="accent1" w:sz="4" w:space="0"/>
          <w:insideV w:val="single" w:color="EB6B34" w:themeColor="accent1" w:sz="4" w:space="0"/>
        </w:tcBorders>
        <w:shd w:val="clear" w:color="auto" w:fill="auto"/>
      </w:tcPr>
    </w:tblStylePr>
  </w:style>
  <w:style w:type="table" w:styleId="Watson32" w:customStyle="1">
    <w:name w:val="Watson3.2"/>
    <w:basedOn w:val="Watson12"/>
    <w:uiPriority w:val="99"/>
    <w:rsid w:val="006E7CCE"/>
    <w:tblPr>
      <w:tbl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blBorders>
    </w:tblPr>
    <w:tblStylePr w:type="firstRow">
      <w:pPr>
        <w:wordWrap/>
        <w:spacing w:before="120" w:beforeLines="0" w:beforeAutospacing="0" w:after="120" w:afterLines="0" w:afterAutospacing="0" w:line="240" w:lineRule="auto"/>
        <w:jc w:val="center"/>
      </w:pPr>
      <w:rPr>
        <w:rFonts w:asciiTheme="majorHAnsi" w:hAnsiTheme="majorHAnsi"/>
        <w:b/>
        <w:bCs/>
        <w:color w:val="212931" w:themeColor="text1" w:themeShade="80"/>
        <w:sz w:val="24"/>
        <w:szCs w:val="24"/>
      </w:rPr>
      <w:tblPr/>
      <w:trPr>
        <w:cantSplit/>
        <w:tblHeader/>
      </w:tr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nil"/>
          <w:insideV w:val="single" w:color="FFFFFF" w:themeColor="background1" w:sz="4" w:space="0"/>
          <w:tl2br w:val="nil"/>
          <w:tr2bl w:val="nil"/>
        </w:tcBorders>
        <w:shd w:val="clear" w:color="auto" w:fill="35A0A4" w:themeFill="accent2"/>
      </w:tcPr>
    </w:tblStylePr>
    <w:tblStylePr w:type="lastRow">
      <w:rPr>
        <w:b/>
        <w:bCs/>
      </w:rPr>
      <w:tbl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cBorders>
        <w:shd w:val="clear" w:color="auto" w:fill="FFFFFF" w:themeFill="background1"/>
      </w:tcPr>
    </w:tblStylePr>
    <w:tblStylePr w:type="firstCol">
      <w:pPr>
        <w:wordWrap/>
        <w:spacing w:before="0" w:beforeLines="0" w:beforeAutospacing="0" w:after="0" w:afterLines="0" w:afterAutospacing="0" w:line="240" w:lineRule="auto"/>
        <w:ind w:left="0" w:leftChars="0" w:right="0" w:rightChars="0"/>
        <w:contextualSpacing w:val="0"/>
        <w:jc w:val="center"/>
      </w:pPr>
      <w:rPr>
        <w:rFonts w:asciiTheme="majorHAnsi" w:hAnsiTheme="majorHAnsi"/>
        <w:b/>
        <w:bCs/>
        <w:i w:val="0"/>
        <w:color w:val="6E6E6E" w:themeColor="background2"/>
        <w:spacing w:val="0"/>
        <w:sz w:val="24"/>
      </w:rPr>
      <w:tbl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cBorders>
        <w:shd w:val="clear" w:color="auto" w:fill="FFFFFF" w:themeFill="background1"/>
      </w:tcPr>
    </w:tblStylePr>
    <w:tblStylePr w:type="lastCol">
      <w:rPr>
        <w:b/>
        <w:bCs/>
      </w:rPr>
      <w:tbl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cBorders>
        <w:shd w:val="clear" w:color="auto" w:fill="FFFFFF" w:themeFill="background1"/>
      </w:tcPr>
    </w:tblStylePr>
    <w:tblStylePr w:type="band1Vert">
      <w:pPr>
        <w:jc w:val="center"/>
      </w:pPr>
      <w:tbl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cBorders>
        <w:shd w:val="clear" w:color="auto" w:fill="auto"/>
      </w:tcPr>
    </w:tblStylePr>
    <w:tblStylePr w:type="band2Vert">
      <w:tbl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cBorders>
        <w:shd w:val="clear" w:color="auto" w:fill="auto"/>
      </w:tcPr>
    </w:tblStylePr>
    <w:tblStylePr w:type="band1Horz">
      <w:tbl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cBorders>
        <w:shd w:val="clear" w:color="auto" w:fill="auto"/>
      </w:tcPr>
    </w:tblStylePr>
    <w:tblStylePr w:type="band2Horz">
      <w:tbl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cBorders>
        <w:shd w:val="clear" w:color="auto" w:fill="auto"/>
      </w:tcPr>
    </w:tblStylePr>
    <w:tblStylePr w:type="neCell">
      <w:tblPr/>
      <w:tcPr>
        <w:tcBorders>
          <w:left w:val="nil"/>
          <w:bottom w:val="nil"/>
        </w:tcBorders>
      </w:tcPr>
    </w:tblStylePr>
    <w:tblStylePr w:type="nwCell">
      <w:pPr>
        <w:wordWrap/>
        <w:spacing w:before="120" w:beforeLines="0" w:beforeAutospacing="0" w:after="120" w:afterLines="0" w:afterAutospacing="0" w:line="240" w:lineRule="auto"/>
        <w:jc w:val="center"/>
      </w:pPr>
      <w:rPr>
        <w:rFonts w:asciiTheme="majorHAnsi" w:hAnsiTheme="majorHAnsi"/>
        <w:b/>
        <w:color w:val="212931" w:themeColor="text1" w:themeShade="80"/>
        <w:sz w:val="24"/>
      </w:rPr>
      <w:tblPr/>
      <w:tcPr>
        <w:tcBorders>
          <w:bottom w:val="nil"/>
          <w:right w:val="nil"/>
        </w:tcBorders>
        <w:shd w:val="clear" w:color="auto" w:fill="35A0A4" w:themeFill="accent2"/>
      </w:tcPr>
    </w:tblStylePr>
    <w:tblStylePr w:type="seCell">
      <w:tbl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cBorders>
        <w:shd w:val="clear" w:color="auto" w:fill="auto"/>
      </w:tcPr>
    </w:tblStylePr>
    <w:tblStylePr w:type="swCell">
      <w:tblPr/>
      <w:tcPr>
        <w:tcBorders>
          <w:top w:val="single" w:color="35A0A4" w:themeColor="accent2" w:sz="4" w:space="0"/>
          <w:left w:val="single" w:color="35A0A4" w:themeColor="accent2" w:sz="4" w:space="0"/>
          <w:bottom w:val="single" w:color="35A0A4" w:themeColor="accent2" w:sz="4" w:space="0"/>
          <w:right w:val="single" w:color="35A0A4" w:themeColor="accent2" w:sz="4" w:space="0"/>
          <w:insideH w:val="single" w:color="35A0A4" w:themeColor="accent2" w:sz="4" w:space="0"/>
          <w:insideV w:val="single" w:color="35A0A4" w:themeColor="accent2" w:sz="4" w:space="0"/>
        </w:tcBorders>
        <w:shd w:val="clear" w:color="auto" w:fill="auto"/>
      </w:tcPr>
    </w:tblStylePr>
  </w:style>
  <w:style w:type="table" w:styleId="Watson42" w:customStyle="1">
    <w:name w:val="Watson4.2"/>
    <w:basedOn w:val="Watson12"/>
    <w:uiPriority w:val="99"/>
    <w:rsid w:val="005C60D9"/>
    <w:tblPr>
      <w:tblBorders>
        <w:top w:val="single" w:color="FFFFFF" w:themeColor="accent3" w:sz="4" w:space="0"/>
        <w:left w:val="single" w:color="FFFFFF" w:themeColor="accent3" w:sz="4" w:space="0"/>
        <w:bottom w:val="single" w:color="FFFFFF" w:themeColor="accent3" w:sz="4" w:space="0"/>
        <w:right w:val="single" w:color="FFFFFF" w:themeColor="accent3" w:sz="4" w:space="0"/>
        <w:insideH w:val="single" w:color="FFFFFF" w:themeColor="accent3" w:sz="4" w:space="0"/>
        <w:insideV w:val="single" w:color="FFFFFF" w:themeColor="accent3" w:sz="4" w:space="0"/>
      </w:tblBorders>
    </w:tblPr>
    <w:tblStylePr w:type="firstRow">
      <w:pPr>
        <w:wordWrap/>
        <w:spacing w:before="120" w:beforeLines="0" w:beforeAutospacing="0" w:after="120" w:afterLines="0" w:afterAutospacing="0" w:line="240" w:lineRule="auto"/>
        <w:jc w:val="center"/>
      </w:pPr>
      <w:rPr>
        <w:rFonts w:asciiTheme="majorHAnsi" w:hAnsiTheme="majorHAnsi"/>
        <w:b/>
        <w:bCs/>
        <w:color w:val="FFFFFF" w:themeColor="background1"/>
        <w:sz w:val="24"/>
        <w:szCs w:val="24"/>
      </w:rPr>
      <w:tblPr/>
      <w:trPr>
        <w:cantSplit/>
        <w:tblHeader/>
      </w:tr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nil"/>
          <w:insideV w:val="single" w:color="FFFFFF" w:themeColor="background1" w:sz="4" w:space="0"/>
          <w:tl2br w:val="nil"/>
          <w:tr2bl w:val="nil"/>
        </w:tcBorders>
        <w:shd w:val="clear" w:color="auto" w:fill="FFFFFF" w:themeFill="accent3"/>
      </w:tcPr>
    </w:tblStylePr>
    <w:tblStylePr w:type="lastRow">
      <w:rPr>
        <w:b/>
        <w:bCs/>
      </w:rPr>
      <w:tbl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single" w:color="FFFFFF" w:themeColor="accent3" w:sz="4" w:space="0"/>
          <w:insideV w:val="single" w:color="FFFFFF" w:themeColor="accent3" w:sz="4" w:space="0"/>
        </w:tcBorders>
        <w:shd w:val="clear" w:color="auto" w:fill="FFFFFF" w:themeFill="background1"/>
      </w:tcPr>
    </w:tblStylePr>
    <w:tblStylePr w:type="firstCol">
      <w:pPr>
        <w:wordWrap/>
        <w:spacing w:before="0" w:beforeLines="0" w:beforeAutospacing="0" w:after="0" w:afterLines="0" w:afterAutospacing="0" w:line="240" w:lineRule="auto"/>
        <w:ind w:left="0" w:leftChars="0" w:right="0" w:rightChars="0"/>
        <w:contextualSpacing w:val="0"/>
        <w:jc w:val="center"/>
      </w:pPr>
      <w:rPr>
        <w:rFonts w:asciiTheme="majorHAnsi" w:hAnsiTheme="majorHAnsi"/>
        <w:b/>
        <w:bCs/>
        <w:i w:val="0"/>
        <w:color w:val="6E6E6E" w:themeColor="background2"/>
        <w:spacing w:val="0"/>
        <w:sz w:val="24"/>
      </w:rPr>
      <w:tbl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single" w:color="FFFFFF" w:themeColor="accent3" w:sz="4" w:space="0"/>
          <w:insideV w:val="single" w:color="FFFFFF" w:themeColor="accent3" w:sz="4" w:space="0"/>
        </w:tcBorders>
        <w:shd w:val="clear" w:color="auto" w:fill="FFFFFF" w:themeFill="background1"/>
      </w:tcPr>
    </w:tblStylePr>
    <w:tblStylePr w:type="lastCol">
      <w:rPr>
        <w:b/>
        <w:bCs/>
      </w:rPr>
      <w:tbl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single" w:color="FFFFFF" w:themeColor="accent3" w:sz="4" w:space="0"/>
          <w:insideV w:val="single" w:color="FFFFFF" w:themeColor="accent3" w:sz="4" w:space="0"/>
        </w:tcBorders>
        <w:shd w:val="clear" w:color="auto" w:fill="FFFFFF" w:themeFill="background1"/>
      </w:tcPr>
    </w:tblStylePr>
    <w:tblStylePr w:type="band1Vert">
      <w:pPr>
        <w:jc w:val="center"/>
      </w:pPr>
      <w:tbl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single" w:color="FFFFFF" w:themeColor="accent3" w:sz="4" w:space="0"/>
          <w:insideV w:val="single" w:color="FFFFFF" w:themeColor="accent3" w:sz="4" w:space="0"/>
        </w:tcBorders>
        <w:shd w:val="clear" w:color="auto" w:fill="auto"/>
      </w:tcPr>
    </w:tblStylePr>
    <w:tblStylePr w:type="band2Vert">
      <w:tbl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single" w:color="FFFFFF" w:themeColor="accent3" w:sz="4" w:space="0"/>
          <w:insideV w:val="single" w:color="FFFFFF" w:themeColor="accent3" w:sz="4" w:space="0"/>
        </w:tcBorders>
        <w:shd w:val="clear" w:color="auto" w:fill="auto"/>
      </w:tcPr>
    </w:tblStylePr>
    <w:tblStylePr w:type="band1Horz">
      <w:tbl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single" w:color="FFFFFF" w:themeColor="accent3" w:sz="4" w:space="0"/>
          <w:insideV w:val="single" w:color="FFFFFF" w:themeColor="accent3" w:sz="4" w:space="0"/>
        </w:tcBorders>
        <w:shd w:val="clear" w:color="auto" w:fill="auto"/>
      </w:tcPr>
    </w:tblStylePr>
    <w:tblStylePr w:type="band2Horz">
      <w:tbl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single" w:color="FFFFFF" w:themeColor="accent3" w:sz="4" w:space="0"/>
          <w:insideV w:val="single" w:color="FFFFFF" w:themeColor="accent3" w:sz="4" w:space="0"/>
        </w:tcBorders>
        <w:shd w:val="clear" w:color="auto" w:fill="auto"/>
      </w:tcPr>
    </w:tblStylePr>
    <w:tblStylePr w:type="neCell">
      <w:tblPr/>
      <w:tcPr>
        <w:tcBorders>
          <w:left w:val="nil"/>
          <w:bottom w:val="nil"/>
        </w:tcBorders>
      </w:tcPr>
    </w:tblStylePr>
    <w:tblStylePr w:type="nwCell">
      <w:pPr>
        <w:wordWrap/>
        <w:spacing w:before="120" w:beforeLines="0" w:beforeAutospacing="0" w:after="120" w:afterLines="0" w:afterAutospacing="0" w:line="240" w:lineRule="auto"/>
        <w:jc w:val="center"/>
      </w:pPr>
      <w:rPr>
        <w:rFonts w:asciiTheme="majorHAnsi" w:hAnsiTheme="majorHAnsi"/>
        <w:b/>
        <w:color w:val="FFFFFF" w:themeColor="background1"/>
        <w:sz w:val="24"/>
      </w:rPr>
      <w:tblPr/>
      <w:tcPr>
        <w:tcBorders>
          <w:bottom w:val="nil"/>
          <w:right w:val="nil"/>
        </w:tcBorders>
        <w:shd w:val="clear" w:color="auto" w:fill="FFFFFF" w:themeFill="accent3"/>
      </w:tcPr>
    </w:tblStylePr>
    <w:tblStylePr w:type="seCell">
      <w:tbl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single" w:color="FFFFFF" w:themeColor="accent3" w:sz="4" w:space="0"/>
          <w:insideV w:val="single" w:color="FFFFFF" w:themeColor="accent3" w:sz="4" w:space="0"/>
        </w:tcBorders>
        <w:shd w:val="clear" w:color="auto" w:fill="auto"/>
      </w:tcPr>
    </w:tblStylePr>
    <w:tblStylePr w:type="swCell">
      <w:tblPr/>
      <w:tcPr>
        <w:tcBorders>
          <w:top w:val="single" w:color="FFFFFF" w:themeColor="accent3" w:sz="4" w:space="0"/>
          <w:left w:val="single" w:color="FFFFFF" w:themeColor="accent3" w:sz="4" w:space="0"/>
          <w:bottom w:val="single" w:color="FFFFFF" w:themeColor="accent3" w:sz="4" w:space="0"/>
          <w:right w:val="single" w:color="FFFFFF" w:themeColor="accent3" w:sz="4" w:space="0"/>
          <w:insideH w:val="single" w:color="FFFFFF" w:themeColor="accent3" w:sz="4" w:space="0"/>
          <w:insideV w:val="single" w:color="FFFFFF" w:themeColor="accent3" w:sz="4" w:space="0"/>
        </w:tcBorders>
        <w:shd w:val="clear" w:color="auto" w:fill="auto"/>
      </w:tcPr>
    </w:tblStylePr>
  </w:style>
  <w:style w:type="table" w:styleId="Watson52" w:customStyle="1">
    <w:name w:val="Watson5.2"/>
    <w:basedOn w:val="Watson12"/>
    <w:uiPriority w:val="99"/>
    <w:rsid w:val="006E7CCE"/>
    <w:tblPr>
      <w:tblBorders>
        <w:top w:val="single" w:color="83A354" w:themeColor="accent4" w:sz="4" w:space="0"/>
        <w:left w:val="single" w:color="83A354" w:themeColor="accent4" w:sz="4" w:space="0"/>
        <w:bottom w:val="single" w:color="83A354" w:themeColor="accent4" w:sz="4" w:space="0"/>
        <w:right w:val="single" w:color="83A354" w:themeColor="accent4" w:sz="4" w:space="0"/>
        <w:insideH w:val="single" w:color="83A354" w:themeColor="accent4" w:sz="4" w:space="0"/>
        <w:insideV w:val="single" w:color="83A354" w:themeColor="accent4" w:sz="4" w:space="0"/>
      </w:tblBorders>
    </w:tblPr>
    <w:tblStylePr w:type="firstRow">
      <w:pPr>
        <w:wordWrap/>
        <w:spacing w:before="120" w:beforeLines="0" w:beforeAutospacing="0" w:after="120" w:afterLines="0" w:afterAutospacing="0" w:line="240" w:lineRule="auto"/>
        <w:jc w:val="center"/>
      </w:pPr>
      <w:rPr>
        <w:rFonts w:asciiTheme="majorHAnsi" w:hAnsiTheme="majorHAnsi"/>
        <w:b/>
        <w:bCs/>
        <w:color w:val="212931" w:themeColor="text1" w:themeShade="80"/>
        <w:sz w:val="24"/>
        <w:szCs w:val="24"/>
      </w:rPr>
      <w:tblPr/>
      <w:trPr>
        <w:cantSplit/>
        <w:tblHeader/>
      </w:tr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nil"/>
          <w:insideV w:val="single" w:color="FFFFFF" w:themeColor="background1" w:sz="4" w:space="0"/>
          <w:tl2br w:val="nil"/>
          <w:tr2bl w:val="nil"/>
        </w:tcBorders>
        <w:shd w:val="clear" w:color="auto" w:fill="83A354" w:themeFill="accent4"/>
      </w:tcPr>
    </w:tblStylePr>
    <w:tblStylePr w:type="lastRow">
      <w:rPr>
        <w:b/>
        <w:bCs/>
      </w:rPr>
      <w:tbl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single" w:color="83A354" w:themeColor="accent4" w:sz="4" w:space="0"/>
          <w:insideV w:val="single" w:color="83A354" w:themeColor="accent4" w:sz="4" w:space="0"/>
        </w:tcBorders>
        <w:shd w:val="clear" w:color="auto" w:fill="FFFFFF" w:themeFill="background1"/>
      </w:tcPr>
    </w:tblStylePr>
    <w:tblStylePr w:type="firstCol">
      <w:pPr>
        <w:wordWrap/>
        <w:spacing w:before="0" w:beforeLines="0" w:beforeAutospacing="0" w:after="0" w:afterLines="0" w:afterAutospacing="0" w:line="240" w:lineRule="auto"/>
        <w:ind w:left="0" w:leftChars="0" w:right="0" w:rightChars="0"/>
        <w:contextualSpacing w:val="0"/>
        <w:jc w:val="center"/>
      </w:pPr>
      <w:rPr>
        <w:rFonts w:asciiTheme="majorHAnsi" w:hAnsiTheme="majorHAnsi"/>
        <w:b/>
        <w:bCs/>
        <w:i w:val="0"/>
        <w:color w:val="6E6E6E" w:themeColor="background2"/>
        <w:spacing w:val="0"/>
        <w:sz w:val="24"/>
      </w:rPr>
      <w:tbl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single" w:color="83A354" w:themeColor="accent4" w:sz="4" w:space="0"/>
          <w:insideV w:val="single" w:color="83A354" w:themeColor="accent4" w:sz="4" w:space="0"/>
        </w:tcBorders>
        <w:shd w:val="clear" w:color="auto" w:fill="FFFFFF" w:themeFill="background1"/>
      </w:tcPr>
    </w:tblStylePr>
    <w:tblStylePr w:type="lastCol">
      <w:rPr>
        <w:b/>
        <w:bCs/>
      </w:rPr>
      <w:tbl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single" w:color="83A354" w:themeColor="accent4" w:sz="4" w:space="0"/>
          <w:insideV w:val="single" w:color="83A354" w:themeColor="accent4" w:sz="4" w:space="0"/>
        </w:tcBorders>
        <w:shd w:val="clear" w:color="auto" w:fill="FFFFFF" w:themeFill="background1"/>
      </w:tcPr>
    </w:tblStylePr>
    <w:tblStylePr w:type="band1Vert">
      <w:pPr>
        <w:jc w:val="center"/>
      </w:pPr>
      <w:tbl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single" w:color="83A354" w:themeColor="accent4" w:sz="4" w:space="0"/>
          <w:insideV w:val="single" w:color="83A354" w:themeColor="accent4" w:sz="4" w:space="0"/>
        </w:tcBorders>
        <w:shd w:val="clear" w:color="auto" w:fill="auto"/>
      </w:tcPr>
    </w:tblStylePr>
    <w:tblStylePr w:type="band2Vert">
      <w:tbl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single" w:color="83A354" w:themeColor="accent4" w:sz="4" w:space="0"/>
          <w:insideV w:val="single" w:color="83A354" w:themeColor="accent4" w:sz="4" w:space="0"/>
        </w:tcBorders>
        <w:shd w:val="clear" w:color="auto" w:fill="auto"/>
      </w:tcPr>
    </w:tblStylePr>
    <w:tblStylePr w:type="band1Horz">
      <w:tbl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single" w:color="83A354" w:themeColor="accent4" w:sz="4" w:space="0"/>
          <w:insideV w:val="single" w:color="83A354" w:themeColor="accent4" w:sz="4" w:space="0"/>
        </w:tcBorders>
        <w:shd w:val="clear" w:color="auto" w:fill="auto"/>
      </w:tcPr>
    </w:tblStylePr>
    <w:tblStylePr w:type="band2Horz">
      <w:tbl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single" w:color="83A354" w:themeColor="accent4" w:sz="4" w:space="0"/>
          <w:insideV w:val="single" w:color="83A354" w:themeColor="accent4" w:sz="4" w:space="0"/>
        </w:tcBorders>
        <w:shd w:val="clear" w:color="auto" w:fill="auto"/>
      </w:tcPr>
    </w:tblStylePr>
    <w:tblStylePr w:type="neCell">
      <w:tblPr/>
      <w:tcPr>
        <w:tcBorders>
          <w:left w:val="nil"/>
          <w:bottom w:val="nil"/>
        </w:tcBorders>
      </w:tcPr>
    </w:tblStylePr>
    <w:tblStylePr w:type="nwCell">
      <w:pPr>
        <w:wordWrap/>
        <w:spacing w:before="120" w:beforeLines="0" w:beforeAutospacing="0" w:after="120" w:afterLines="0" w:afterAutospacing="0" w:line="240" w:lineRule="auto"/>
        <w:jc w:val="center"/>
      </w:pPr>
      <w:rPr>
        <w:rFonts w:asciiTheme="majorHAnsi" w:hAnsiTheme="majorHAnsi"/>
        <w:b/>
        <w:color w:val="212931" w:themeColor="text1" w:themeShade="80"/>
        <w:sz w:val="24"/>
      </w:rPr>
      <w:tblPr/>
      <w:tcPr>
        <w:tcBorders>
          <w:bottom w:val="nil"/>
          <w:right w:val="nil"/>
        </w:tcBorders>
        <w:shd w:val="clear" w:color="auto" w:fill="83A354" w:themeFill="accent4"/>
      </w:tcPr>
    </w:tblStylePr>
    <w:tblStylePr w:type="seCell">
      <w:tbl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single" w:color="83A354" w:themeColor="accent4" w:sz="4" w:space="0"/>
          <w:insideV w:val="single" w:color="83A354" w:themeColor="accent4" w:sz="4" w:space="0"/>
        </w:tcBorders>
        <w:shd w:val="clear" w:color="auto" w:fill="auto"/>
      </w:tcPr>
    </w:tblStylePr>
    <w:tblStylePr w:type="swCell">
      <w:tblPr/>
      <w:tcPr>
        <w:tcBorders>
          <w:top w:val="single" w:color="83A354" w:themeColor="accent4" w:sz="4" w:space="0"/>
          <w:left w:val="single" w:color="83A354" w:themeColor="accent4" w:sz="4" w:space="0"/>
          <w:bottom w:val="single" w:color="83A354" w:themeColor="accent4" w:sz="4" w:space="0"/>
          <w:right w:val="single" w:color="83A354" w:themeColor="accent4" w:sz="4" w:space="0"/>
          <w:insideH w:val="single" w:color="83A354" w:themeColor="accent4" w:sz="4" w:space="0"/>
          <w:insideV w:val="single" w:color="83A354" w:themeColor="accent4" w:sz="4" w:space="0"/>
        </w:tcBorders>
        <w:shd w:val="clear" w:color="auto" w:fill="auto"/>
      </w:tcPr>
    </w:tblStylePr>
  </w:style>
  <w:style w:type="table" w:styleId="Watson62" w:customStyle="1">
    <w:name w:val="Watson6.2"/>
    <w:basedOn w:val="Watson12"/>
    <w:uiPriority w:val="99"/>
    <w:rsid w:val="005C60D9"/>
    <w:tblPr>
      <w:tbl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blBorders>
    </w:tblPr>
    <w:tblStylePr w:type="firstRow">
      <w:pPr>
        <w:wordWrap/>
        <w:spacing w:before="120" w:beforeLines="0" w:beforeAutospacing="0" w:after="120" w:afterLines="0" w:afterAutospacing="0" w:line="240" w:lineRule="auto"/>
        <w:jc w:val="center"/>
      </w:pPr>
      <w:rPr>
        <w:rFonts w:asciiTheme="majorHAnsi" w:hAnsiTheme="majorHAnsi"/>
        <w:b/>
        <w:bCs/>
        <w:color w:val="FFFFFF" w:themeColor="background1"/>
        <w:sz w:val="24"/>
        <w:szCs w:val="24"/>
      </w:rPr>
      <w:tblPr/>
      <w:trPr>
        <w:cantSplit/>
        <w:tblHeader/>
      </w:tr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nil"/>
          <w:insideV w:val="single" w:color="FFFFFF" w:themeColor="background1" w:sz="4" w:space="0"/>
          <w:tl2br w:val="nil"/>
          <w:tr2bl w:val="nil"/>
        </w:tcBorders>
        <w:shd w:val="clear" w:color="auto" w:fill="434F7F" w:themeFill="accent5"/>
      </w:tcPr>
    </w:tblStylePr>
    <w:tblStylePr w:type="lastRow">
      <w:rPr>
        <w:b/>
        <w:bCs/>
      </w:rPr>
      <w:tbl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cBorders>
        <w:shd w:val="clear" w:color="auto" w:fill="FFFFFF" w:themeFill="background1"/>
      </w:tcPr>
    </w:tblStylePr>
    <w:tblStylePr w:type="firstCol">
      <w:pPr>
        <w:wordWrap/>
        <w:spacing w:before="0" w:beforeLines="0" w:beforeAutospacing="0" w:after="0" w:afterLines="0" w:afterAutospacing="0" w:line="240" w:lineRule="auto"/>
        <w:ind w:left="0" w:leftChars="0" w:right="0" w:rightChars="0"/>
        <w:contextualSpacing w:val="0"/>
        <w:jc w:val="center"/>
      </w:pPr>
      <w:rPr>
        <w:rFonts w:asciiTheme="majorHAnsi" w:hAnsiTheme="majorHAnsi"/>
        <w:b/>
        <w:bCs/>
        <w:i w:val="0"/>
        <w:color w:val="6E6E6E" w:themeColor="background2"/>
        <w:spacing w:val="0"/>
        <w:sz w:val="24"/>
      </w:rPr>
      <w:tbl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cBorders>
        <w:shd w:val="clear" w:color="auto" w:fill="FFFFFF" w:themeFill="background1"/>
      </w:tcPr>
    </w:tblStylePr>
    <w:tblStylePr w:type="lastCol">
      <w:rPr>
        <w:b/>
        <w:bCs/>
      </w:rPr>
      <w:tbl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cBorders>
        <w:shd w:val="clear" w:color="auto" w:fill="FFFFFF" w:themeFill="background1"/>
      </w:tcPr>
    </w:tblStylePr>
    <w:tblStylePr w:type="band1Vert">
      <w:pPr>
        <w:jc w:val="center"/>
      </w:pPr>
      <w:tbl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cBorders>
        <w:shd w:val="clear" w:color="auto" w:fill="auto"/>
      </w:tcPr>
    </w:tblStylePr>
    <w:tblStylePr w:type="band2Vert">
      <w:tbl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cBorders>
        <w:shd w:val="clear" w:color="auto" w:fill="auto"/>
      </w:tcPr>
    </w:tblStylePr>
    <w:tblStylePr w:type="band1Horz">
      <w:tbl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cBorders>
        <w:shd w:val="clear" w:color="auto" w:fill="auto"/>
      </w:tcPr>
    </w:tblStylePr>
    <w:tblStylePr w:type="band2Horz">
      <w:tbl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cBorders>
        <w:shd w:val="clear" w:color="auto" w:fill="auto"/>
      </w:tcPr>
    </w:tblStylePr>
    <w:tblStylePr w:type="neCell">
      <w:tblPr/>
      <w:tcPr>
        <w:tcBorders>
          <w:left w:val="nil"/>
          <w:bottom w:val="nil"/>
        </w:tcBorders>
      </w:tcPr>
    </w:tblStylePr>
    <w:tblStylePr w:type="nwCell">
      <w:pPr>
        <w:wordWrap/>
        <w:spacing w:before="120" w:beforeLines="0" w:beforeAutospacing="0" w:after="120" w:afterLines="0" w:afterAutospacing="0" w:line="240" w:lineRule="auto"/>
        <w:jc w:val="center"/>
      </w:pPr>
      <w:rPr>
        <w:rFonts w:asciiTheme="majorHAnsi" w:hAnsiTheme="majorHAnsi"/>
        <w:b/>
        <w:color w:val="FFFFFF" w:themeColor="background1"/>
        <w:sz w:val="24"/>
      </w:rPr>
      <w:tblPr/>
      <w:tcPr>
        <w:tcBorders>
          <w:bottom w:val="nil"/>
          <w:right w:val="nil"/>
        </w:tcBorders>
        <w:shd w:val="clear" w:color="auto" w:fill="434F7F" w:themeFill="accent5"/>
      </w:tcPr>
    </w:tblStylePr>
    <w:tblStylePr w:type="seCell">
      <w:tbl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cBorders>
        <w:shd w:val="clear" w:color="auto" w:fill="auto"/>
      </w:tcPr>
    </w:tblStylePr>
    <w:tblStylePr w:type="swCell">
      <w:tblPr/>
      <w:tcPr>
        <w:tcBorders>
          <w:top w:val="single" w:color="434F7F" w:themeColor="accent5" w:sz="4" w:space="0"/>
          <w:left w:val="single" w:color="434F7F" w:themeColor="accent5" w:sz="4" w:space="0"/>
          <w:bottom w:val="single" w:color="434F7F" w:themeColor="accent5" w:sz="4" w:space="0"/>
          <w:right w:val="single" w:color="434F7F" w:themeColor="accent5" w:sz="4" w:space="0"/>
          <w:insideH w:val="single" w:color="434F7F" w:themeColor="accent5" w:sz="4" w:space="0"/>
          <w:insideV w:val="single" w:color="434F7F" w:themeColor="accent5" w:sz="4" w:space="0"/>
        </w:tcBorders>
        <w:shd w:val="clear" w:color="auto" w:fill="auto"/>
      </w:tcPr>
    </w:tblStylePr>
  </w:style>
  <w:style w:type="table" w:styleId="Watson72" w:customStyle="1">
    <w:name w:val="Watson7.2"/>
    <w:basedOn w:val="Watson12"/>
    <w:uiPriority w:val="99"/>
    <w:rsid w:val="005C60D9"/>
    <w:tblPr>
      <w:tbl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blBorders>
    </w:tblPr>
    <w:tblStylePr w:type="firstRow">
      <w:pPr>
        <w:wordWrap/>
        <w:spacing w:before="120" w:beforeLines="0" w:beforeAutospacing="0" w:after="120" w:afterLines="0" w:afterAutospacing="0" w:line="240" w:lineRule="auto"/>
        <w:jc w:val="center"/>
      </w:pPr>
      <w:rPr>
        <w:rFonts w:asciiTheme="majorHAnsi" w:hAnsiTheme="majorHAnsi"/>
        <w:b/>
        <w:bCs/>
        <w:color w:val="FFFFFF" w:themeColor="background1"/>
        <w:sz w:val="24"/>
        <w:szCs w:val="24"/>
      </w:rPr>
      <w:tblPr/>
      <w:trPr>
        <w:cantSplit/>
        <w:tblHeader/>
      </w:tr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nil"/>
          <w:insideV w:val="single" w:color="FFFFFF" w:themeColor="background1" w:sz="4" w:space="0"/>
          <w:tl2br w:val="nil"/>
          <w:tr2bl w:val="nil"/>
        </w:tcBorders>
        <w:shd w:val="clear" w:color="auto" w:fill="2E826B" w:themeFill="accent6"/>
      </w:tcPr>
    </w:tblStylePr>
    <w:tblStylePr w:type="lastRow">
      <w:rPr>
        <w:b/>
        <w:bCs/>
      </w:rPr>
      <w:tbl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cBorders>
        <w:shd w:val="clear" w:color="auto" w:fill="FFFFFF" w:themeFill="background1"/>
      </w:tcPr>
    </w:tblStylePr>
    <w:tblStylePr w:type="firstCol">
      <w:pPr>
        <w:wordWrap/>
        <w:spacing w:before="0" w:beforeLines="0" w:beforeAutospacing="0" w:after="0" w:afterLines="0" w:afterAutospacing="0" w:line="240" w:lineRule="auto"/>
        <w:ind w:left="0" w:leftChars="0" w:right="0" w:rightChars="0"/>
        <w:contextualSpacing w:val="0"/>
        <w:jc w:val="center"/>
      </w:pPr>
      <w:rPr>
        <w:rFonts w:asciiTheme="majorHAnsi" w:hAnsiTheme="majorHAnsi"/>
        <w:b/>
        <w:bCs/>
        <w:i w:val="0"/>
        <w:color w:val="6E6E6E" w:themeColor="background2"/>
        <w:spacing w:val="0"/>
        <w:sz w:val="24"/>
      </w:rPr>
      <w:tbl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cBorders>
        <w:shd w:val="clear" w:color="auto" w:fill="FFFFFF" w:themeFill="background1"/>
      </w:tcPr>
    </w:tblStylePr>
    <w:tblStylePr w:type="lastCol">
      <w:rPr>
        <w:b/>
        <w:bCs/>
      </w:rPr>
      <w:tbl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cBorders>
        <w:shd w:val="clear" w:color="auto" w:fill="FFFFFF" w:themeFill="background1"/>
      </w:tcPr>
    </w:tblStylePr>
    <w:tblStylePr w:type="band1Vert">
      <w:pPr>
        <w:jc w:val="center"/>
      </w:pPr>
      <w:tbl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cBorders>
        <w:shd w:val="clear" w:color="auto" w:fill="auto"/>
      </w:tcPr>
    </w:tblStylePr>
    <w:tblStylePr w:type="band2Vert">
      <w:tbl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cBorders>
        <w:shd w:val="clear" w:color="auto" w:fill="auto"/>
      </w:tcPr>
    </w:tblStylePr>
    <w:tblStylePr w:type="band1Horz">
      <w:tbl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cBorders>
        <w:shd w:val="clear" w:color="auto" w:fill="auto"/>
      </w:tcPr>
    </w:tblStylePr>
    <w:tblStylePr w:type="band2Horz">
      <w:tbl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cBorders>
        <w:shd w:val="clear" w:color="auto" w:fill="auto"/>
      </w:tcPr>
    </w:tblStylePr>
    <w:tblStylePr w:type="neCell">
      <w:tblPr/>
      <w:tcPr>
        <w:tcBorders>
          <w:left w:val="nil"/>
          <w:bottom w:val="nil"/>
        </w:tcBorders>
      </w:tcPr>
    </w:tblStylePr>
    <w:tblStylePr w:type="nwCell">
      <w:pPr>
        <w:wordWrap/>
        <w:spacing w:before="120" w:beforeLines="0" w:beforeAutospacing="0" w:after="120" w:afterLines="0" w:afterAutospacing="0" w:line="240" w:lineRule="auto"/>
        <w:jc w:val="center"/>
      </w:pPr>
      <w:rPr>
        <w:rFonts w:asciiTheme="majorHAnsi" w:hAnsiTheme="majorHAnsi"/>
        <w:b/>
        <w:color w:val="FFFFFF" w:themeColor="background1"/>
        <w:sz w:val="24"/>
      </w:rPr>
      <w:tblPr/>
      <w:tcPr>
        <w:tcBorders>
          <w:bottom w:val="nil"/>
          <w:right w:val="nil"/>
        </w:tcBorders>
        <w:shd w:val="clear" w:color="auto" w:fill="2E826B" w:themeFill="accent6"/>
      </w:tcPr>
    </w:tblStylePr>
    <w:tblStylePr w:type="seCell">
      <w:tbl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cBorders>
        <w:shd w:val="clear" w:color="auto" w:fill="auto"/>
      </w:tcPr>
    </w:tblStylePr>
    <w:tblStylePr w:type="swCell">
      <w:tblPr/>
      <w:tcPr>
        <w:tcBorders>
          <w:top w:val="single" w:color="2E826B" w:themeColor="accent6" w:sz="4" w:space="0"/>
          <w:left w:val="single" w:color="2E826B" w:themeColor="accent6" w:sz="4" w:space="0"/>
          <w:bottom w:val="single" w:color="2E826B" w:themeColor="accent6" w:sz="4" w:space="0"/>
          <w:right w:val="single" w:color="2E826B" w:themeColor="accent6" w:sz="4" w:space="0"/>
          <w:insideH w:val="single" w:color="2E826B" w:themeColor="accent6" w:sz="4" w:space="0"/>
          <w:insideV w:val="single" w:color="2E826B" w:themeColor="accent6" w:sz="4" w:space="0"/>
        </w:tcBorders>
        <w:shd w:val="clear" w:color="auto" w:fill="auto"/>
      </w:tcPr>
    </w:tblStylePr>
  </w:style>
  <w:style w:type="paragraph" w:styleId="IntroLetter-ss" w:customStyle="1">
    <w:name w:val="Intro Letter - ss"/>
    <w:aliases w:val="no paragraph spacing"/>
    <w:basedOn w:val="BodyTextss"/>
    <w:semiHidden/>
    <w:qFormat/>
    <w:rsid w:val="006B5C96"/>
    <w:pPr>
      <w:spacing w:after="0"/>
    </w:pPr>
  </w:style>
  <w:style w:type="paragraph" w:styleId="TOC4">
    <w:name w:val="toc 4"/>
    <w:basedOn w:val="Normal"/>
    <w:next w:val="Normal"/>
    <w:autoRedefine/>
    <w:uiPriority w:val="39"/>
    <w:unhideWhenUsed/>
    <w:rsid w:val="00D779FC"/>
    <w:pPr>
      <w:ind w:left="2160" w:right="720" w:hanging="720"/>
    </w:pPr>
    <w:rPr>
      <w:rFonts w:asciiTheme="minorHAnsi" w:hAnsiTheme="minorHAnsi" w:cstheme="minorHAnsi"/>
      <w:szCs w:val="20"/>
    </w:rPr>
  </w:style>
  <w:style w:type="paragraph" w:styleId="TOC5">
    <w:name w:val="toc 5"/>
    <w:basedOn w:val="Normal"/>
    <w:next w:val="Normal"/>
    <w:autoRedefine/>
    <w:uiPriority w:val="39"/>
    <w:unhideWhenUsed/>
    <w:rsid w:val="00CF4CC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CF4CCB"/>
    <w:pPr>
      <w:ind w:left="1200"/>
    </w:pPr>
    <w:rPr>
      <w:rFonts w:asciiTheme="minorHAnsi" w:hAnsiTheme="minorHAnsi" w:cstheme="minorHAnsi"/>
      <w:sz w:val="20"/>
      <w:szCs w:val="20"/>
    </w:rPr>
  </w:style>
  <w:style w:type="paragraph" w:styleId="APPdivider" w:customStyle="1">
    <w:name w:val="APP divider"/>
    <w:basedOn w:val="Normal"/>
    <w:link w:val="APPdividerChar"/>
    <w:uiPriority w:val="3"/>
    <w:qFormat/>
    <w:rsid w:val="0096612E"/>
    <w:pPr>
      <w:keepLines/>
      <w:spacing w:before="960"/>
      <w:contextualSpacing/>
      <w:outlineLvl w:val="0"/>
    </w:pPr>
    <w:rPr>
      <w:sz w:val="96"/>
      <w:szCs w:val="96"/>
    </w:rPr>
  </w:style>
  <w:style w:type="paragraph" w:styleId="TOC7">
    <w:name w:val="toc 7"/>
    <w:basedOn w:val="Normal"/>
    <w:next w:val="Normal"/>
    <w:autoRedefine/>
    <w:uiPriority w:val="39"/>
    <w:unhideWhenUsed/>
    <w:rsid w:val="00090DC5"/>
    <w:pPr>
      <w:ind w:left="1440"/>
    </w:pPr>
    <w:rPr>
      <w:rFonts w:asciiTheme="minorHAnsi" w:hAnsiTheme="minorHAnsi" w:cstheme="minorHAnsi"/>
      <w:sz w:val="20"/>
      <w:szCs w:val="20"/>
    </w:rPr>
  </w:style>
  <w:style w:type="character" w:styleId="APPdividerChar" w:customStyle="1">
    <w:name w:val="APP divider Char"/>
    <w:basedOn w:val="DefaultParagraphFont"/>
    <w:link w:val="APPdivider"/>
    <w:uiPriority w:val="3"/>
    <w:rsid w:val="0096612E"/>
    <w:rPr>
      <w:sz w:val="96"/>
      <w:szCs w:val="96"/>
    </w:rPr>
  </w:style>
  <w:style w:type="paragraph" w:styleId="CoverLogo" w:customStyle="1">
    <w:name w:val="Cover Logo"/>
    <w:basedOn w:val="Normal"/>
    <w:uiPriority w:val="3"/>
    <w:unhideWhenUsed/>
    <w:qFormat/>
    <w:rsid w:val="00294E19"/>
    <w:pPr>
      <w:spacing w:before="480"/>
      <w:jc w:val="right"/>
    </w:pPr>
  </w:style>
  <w:style w:type="paragraph" w:styleId="Title">
    <w:name w:val="Title"/>
    <w:basedOn w:val="BasicParagraph"/>
    <w:next w:val="Normal"/>
    <w:link w:val="TitleChar"/>
    <w:uiPriority w:val="1"/>
    <w:unhideWhenUsed/>
    <w:rsid w:val="00294E19"/>
    <w:pPr>
      <w:spacing w:before="1560"/>
      <w:jc w:val="right"/>
    </w:pPr>
    <w:rPr>
      <w:rFonts w:asciiTheme="majorHAnsi" w:hAnsiTheme="majorHAnsi" w:cstheme="majorHAnsi"/>
      <w:b/>
      <w:bCs/>
      <w:color w:val="425364" w:themeColor="text1"/>
      <w:spacing w:val="-10"/>
      <w:sz w:val="48"/>
      <w:szCs w:val="48"/>
    </w:rPr>
  </w:style>
  <w:style w:type="character" w:styleId="TitleChar" w:customStyle="1">
    <w:name w:val="Title Char"/>
    <w:basedOn w:val="DefaultParagraphFont"/>
    <w:link w:val="Title"/>
    <w:uiPriority w:val="1"/>
    <w:rsid w:val="00C85DFA"/>
    <w:rPr>
      <w:rFonts w:asciiTheme="majorHAnsi" w:hAnsiTheme="majorHAnsi" w:cstheme="majorHAnsi"/>
      <w:b/>
      <w:bCs/>
      <w:color w:val="425364" w:themeColor="text1"/>
      <w:spacing w:val="-10"/>
      <w:sz w:val="48"/>
      <w:szCs w:val="48"/>
      <w:lang w:val="en-CA"/>
    </w:rPr>
  </w:style>
  <w:style w:type="paragraph" w:styleId="Subtitle">
    <w:name w:val="Subtitle"/>
    <w:basedOn w:val="Normal"/>
    <w:next w:val="Normal"/>
    <w:link w:val="SubtitleChar"/>
    <w:uiPriority w:val="2"/>
    <w:unhideWhenUsed/>
    <w:rsid w:val="00294E19"/>
    <w:pPr>
      <w:spacing w:before="80" w:after="480"/>
      <w:jc w:val="right"/>
    </w:pPr>
    <w:rPr>
      <w:rFonts w:asciiTheme="majorHAnsi" w:hAnsiTheme="majorHAnsi" w:cstheme="majorHAnsi"/>
      <w:sz w:val="40"/>
      <w:szCs w:val="40"/>
    </w:rPr>
  </w:style>
  <w:style w:type="character" w:styleId="SubtitleChar" w:customStyle="1">
    <w:name w:val="Subtitle Char"/>
    <w:basedOn w:val="DefaultParagraphFont"/>
    <w:link w:val="Subtitle"/>
    <w:uiPriority w:val="2"/>
    <w:rsid w:val="00C85DFA"/>
    <w:rPr>
      <w:rFonts w:asciiTheme="majorHAnsi" w:hAnsiTheme="majorHAnsi" w:cstheme="majorHAnsi"/>
      <w:sz w:val="40"/>
      <w:szCs w:val="40"/>
      <w:lang w:val="en-CA"/>
    </w:rPr>
  </w:style>
  <w:style w:type="paragraph" w:styleId="CoverLine" w:customStyle="1">
    <w:name w:val="Cover Line"/>
    <w:basedOn w:val="Normal"/>
    <w:uiPriority w:val="3"/>
    <w:unhideWhenUsed/>
    <w:qFormat/>
    <w:rsid w:val="00DE4183"/>
    <w:pPr>
      <w:spacing w:after="360"/>
      <w:jc w:val="right"/>
    </w:pPr>
  </w:style>
  <w:style w:type="paragraph" w:styleId="CoverRFPName" w:customStyle="1">
    <w:name w:val="Cover RFP Name"/>
    <w:basedOn w:val="Normal"/>
    <w:uiPriority w:val="3"/>
    <w:unhideWhenUsed/>
    <w:qFormat/>
    <w:rsid w:val="00DE4183"/>
    <w:pPr>
      <w:spacing w:after="480"/>
      <w:ind w:firstLine="720"/>
      <w:jc w:val="right"/>
    </w:pPr>
    <w:rPr>
      <w:rFonts w:asciiTheme="majorHAnsi" w:hAnsiTheme="majorHAnsi" w:cstheme="majorHAnsi"/>
      <w:sz w:val="40"/>
      <w:szCs w:val="40"/>
    </w:rPr>
  </w:style>
  <w:style w:type="character" w:styleId="WatsonTextinFooter" w:customStyle="1">
    <w:name w:val="Watson Text in Footer"/>
    <w:uiPriority w:val="4"/>
    <w:qFormat/>
    <w:rsid w:val="00C235EF"/>
    <w:rPr>
      <w:color w:val="7A97AB" w:themeColor="text2"/>
      <w:sz w:val="20"/>
    </w:rPr>
  </w:style>
  <w:style w:type="paragraph" w:styleId="FooterforToC" w:customStyle="1">
    <w:name w:val="Footer for ToC"/>
    <w:uiPriority w:val="3"/>
    <w:unhideWhenUsed/>
    <w:qFormat/>
    <w:rsid w:val="00C235EF"/>
    <w:pPr>
      <w:pBdr>
        <w:top w:val="single" w:color="425364" w:themeColor="text1" w:sz="6" w:space="1"/>
      </w:pBdr>
      <w:jc w:val="right"/>
    </w:pPr>
    <w:rPr>
      <w:i/>
      <w:noProof/>
      <w:sz w:val="16"/>
    </w:rPr>
  </w:style>
  <w:style w:type="paragraph" w:styleId="EndnoteText">
    <w:name w:val="endnote text"/>
    <w:basedOn w:val="Normal"/>
    <w:link w:val="EndnoteTextChar"/>
    <w:uiPriority w:val="99"/>
    <w:semiHidden/>
    <w:unhideWhenUsed/>
    <w:rsid w:val="0008218E"/>
    <w:rPr>
      <w:sz w:val="20"/>
      <w:szCs w:val="20"/>
    </w:rPr>
  </w:style>
  <w:style w:type="character" w:styleId="EndnoteTextChar" w:customStyle="1">
    <w:name w:val="Endnote Text Char"/>
    <w:basedOn w:val="DefaultParagraphFont"/>
    <w:link w:val="EndnoteText"/>
    <w:uiPriority w:val="99"/>
    <w:semiHidden/>
    <w:rsid w:val="0008218E"/>
    <w:rPr>
      <w:sz w:val="20"/>
      <w:szCs w:val="20"/>
    </w:rPr>
  </w:style>
  <w:style w:type="character" w:styleId="EndnoteReference">
    <w:name w:val="endnote reference"/>
    <w:basedOn w:val="DefaultParagraphFont"/>
    <w:uiPriority w:val="99"/>
    <w:semiHidden/>
    <w:unhideWhenUsed/>
    <w:rsid w:val="0008218E"/>
    <w:rPr>
      <w:vertAlign w:val="superscript"/>
    </w:rPr>
  </w:style>
  <w:style w:type="paragraph" w:styleId="Headingnonumber" w:customStyle="1">
    <w:name w:val="Heading no number"/>
    <w:basedOn w:val="Heading1"/>
    <w:next w:val="BodyText"/>
    <w:link w:val="HeadingnonumberChar"/>
    <w:qFormat/>
    <w:rsid w:val="00B00269"/>
    <w:pPr>
      <w:numPr>
        <w:numId w:val="0"/>
      </w:numPr>
    </w:pPr>
  </w:style>
  <w:style w:type="character" w:styleId="HeadingnonumberChar" w:customStyle="1">
    <w:name w:val="Heading no number Char"/>
    <w:basedOn w:val="Heading1Char"/>
    <w:link w:val="Headingnonumber"/>
    <w:rsid w:val="00B00269"/>
    <w:rPr>
      <w:rFonts w:eastAsiaTheme="majorEastAsia" w:cstheme="majorBidi"/>
      <w:sz w:val="40"/>
      <w:szCs w:val="48"/>
      <w:lang w:val="en-CA" w:eastAsia="ja-JP"/>
    </w:rPr>
  </w:style>
  <w:style w:type="paragraph" w:styleId="BodyText" w:customStyle="1">
    <w:name w:val="BodyText"/>
    <w:basedOn w:val="Header"/>
    <w:link w:val="BodyTextChar"/>
    <w:semiHidden/>
    <w:rsid w:val="00551A91"/>
    <w:pPr>
      <w:tabs>
        <w:tab w:val="clear" w:pos="4320"/>
        <w:tab w:val="clear" w:pos="8640"/>
      </w:tabs>
      <w:spacing w:after="240" w:line="300" w:lineRule="auto"/>
      <w:jc w:val="left"/>
    </w:pPr>
    <w:rPr>
      <w:rFonts w:eastAsia="Times New Roman"/>
      <w:color w:val="auto"/>
      <w:szCs w:val="20"/>
    </w:rPr>
  </w:style>
  <w:style w:type="character" w:styleId="BodyTextChar" w:customStyle="1">
    <w:name w:val="BodyText Char"/>
    <w:basedOn w:val="HeaderChar"/>
    <w:link w:val="BodyText"/>
    <w:semiHidden/>
    <w:rsid w:val="003D657B"/>
    <w:rPr>
      <w:rFonts w:eastAsia="Times New Roman"/>
      <w:color w:val="auto"/>
      <w:szCs w:val="20"/>
      <w:lang w:val="en-CA"/>
    </w:rPr>
  </w:style>
  <w:style w:type="paragraph" w:styleId="BodyTextSS0" w:customStyle="1">
    <w:name w:val="BodyText SS"/>
    <w:basedOn w:val="BodyText"/>
    <w:link w:val="BodyTextSSChar0"/>
    <w:semiHidden/>
    <w:rsid w:val="001D22C0"/>
    <w:pPr>
      <w:spacing w:line="240" w:lineRule="auto"/>
    </w:pPr>
  </w:style>
  <w:style w:type="character" w:styleId="BodyTextSSChar0" w:customStyle="1">
    <w:name w:val="BodyText SS Char"/>
    <w:basedOn w:val="BodyTextChar"/>
    <w:link w:val="BodyTextSS0"/>
    <w:semiHidden/>
    <w:rsid w:val="003D657B"/>
    <w:rPr>
      <w:rFonts w:eastAsia="Times New Roman"/>
      <w:color w:val="auto"/>
      <w:szCs w:val="20"/>
      <w:lang w:val="en-CA"/>
    </w:rPr>
  </w:style>
  <w:style w:type="paragraph" w:styleId="FigureTabletitles0" w:customStyle="1">
    <w:name w:val="Figure/Table titles"/>
    <w:basedOn w:val="BodyTextSS0"/>
    <w:link w:val="FigureTabletitlesChar0"/>
    <w:uiPriority w:val="1"/>
    <w:semiHidden/>
    <w:rsid w:val="00C93A56"/>
    <w:pPr>
      <w:keepNext/>
      <w:spacing w:after="120"/>
      <w:contextualSpacing/>
      <w:jc w:val="center"/>
    </w:pPr>
    <w:rPr>
      <w:b/>
    </w:rPr>
  </w:style>
  <w:style w:type="character" w:styleId="FigureTabletitlesChar0" w:customStyle="1">
    <w:name w:val="Figure/Table titles Char"/>
    <w:basedOn w:val="BodyTextSSChar0"/>
    <w:link w:val="FigureTabletitles0"/>
    <w:uiPriority w:val="1"/>
    <w:semiHidden/>
    <w:rsid w:val="00C85DFA"/>
    <w:rPr>
      <w:rFonts w:eastAsia="Times New Roman"/>
      <w:b/>
      <w:color w:val="auto"/>
      <w:szCs w:val="20"/>
      <w:lang w:val="en-CA"/>
    </w:rPr>
  </w:style>
  <w:style w:type="paragraph" w:styleId="BodyTextbullets" w:customStyle="1">
    <w:name w:val="BodyText bullets"/>
    <w:basedOn w:val="BodyText"/>
    <w:link w:val="BodyTextbulletsChar"/>
    <w:semiHidden/>
    <w:rsid w:val="00C93A56"/>
    <w:pPr>
      <w:ind w:left="720" w:hanging="360"/>
      <w:contextualSpacing/>
    </w:pPr>
  </w:style>
  <w:style w:type="character" w:styleId="BodyTextbulletsChar" w:customStyle="1">
    <w:name w:val="BodyText bullets Char"/>
    <w:basedOn w:val="BodyTextChar"/>
    <w:link w:val="BodyTextbullets"/>
    <w:semiHidden/>
    <w:rsid w:val="003D657B"/>
    <w:rPr>
      <w:rFonts w:eastAsia="Times New Roman"/>
      <w:color w:val="auto"/>
      <w:szCs w:val="20"/>
      <w:lang w:val="en-CA"/>
    </w:rPr>
  </w:style>
  <w:style w:type="paragraph" w:styleId="TOC8">
    <w:name w:val="toc 8"/>
    <w:basedOn w:val="Normal"/>
    <w:next w:val="Normal"/>
    <w:autoRedefine/>
    <w:uiPriority w:val="39"/>
    <w:unhideWhenUsed/>
    <w:rsid w:val="0084579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45799"/>
    <w:pPr>
      <w:ind w:left="192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845799"/>
    <w:rPr>
      <w:color w:val="605E5C"/>
      <w:shd w:val="clear" w:color="auto" w:fill="E1DFDD"/>
    </w:rPr>
  </w:style>
  <w:style w:type="paragraph" w:styleId="ChapterDividers" w:customStyle="1">
    <w:name w:val="Chapter Dividers"/>
    <w:basedOn w:val="APPdivider"/>
    <w:link w:val="ChapterDividersChar"/>
    <w:uiPriority w:val="2"/>
    <w:qFormat/>
    <w:rsid w:val="0096612E"/>
    <w:pPr>
      <w:outlineLvl w:val="9"/>
    </w:pPr>
    <w:rPr>
      <w:noProof/>
    </w:rPr>
  </w:style>
  <w:style w:type="character" w:styleId="ChapterDividersChar" w:customStyle="1">
    <w:name w:val="Chapter Dividers Char"/>
    <w:basedOn w:val="APPdividerChar"/>
    <w:link w:val="ChapterDividers"/>
    <w:uiPriority w:val="2"/>
    <w:rsid w:val="0096612E"/>
    <w:rPr>
      <w:noProof/>
      <w:sz w:val="96"/>
      <w:szCs w:val="96"/>
    </w:rPr>
  </w:style>
  <w:style w:type="paragraph" w:styleId="Dividers" w:customStyle="1">
    <w:name w:val="Dividers"/>
    <w:basedOn w:val="APPdivider"/>
    <w:link w:val="DividersChar"/>
    <w:uiPriority w:val="3"/>
    <w:qFormat/>
    <w:rsid w:val="0096612E"/>
    <w:pPr>
      <w:framePr w:wrap="around" w:hAnchor="text" w:vAnchor="text" w:y="1"/>
      <w:spacing w:before="0"/>
      <w:ind w:left="1138" w:right="1483"/>
      <w:outlineLvl w:val="9"/>
    </w:pPr>
  </w:style>
  <w:style w:type="character" w:styleId="DividersChar" w:customStyle="1">
    <w:name w:val="Dividers Char"/>
    <w:basedOn w:val="APPdividerChar"/>
    <w:link w:val="Dividers"/>
    <w:uiPriority w:val="3"/>
    <w:rsid w:val="0096612E"/>
    <w:rPr>
      <w:sz w:val="96"/>
      <w:szCs w:val="96"/>
    </w:rPr>
  </w:style>
  <w:style w:type="paragraph" w:styleId="UnderlineHeading" w:customStyle="1">
    <w:name w:val="Underline Heading"/>
    <w:basedOn w:val="BodyText125"/>
    <w:link w:val="UnderlineHeadingChar"/>
    <w:uiPriority w:val="1"/>
    <w:qFormat/>
    <w:rsid w:val="000A0CE8"/>
    <w:pPr>
      <w:keepNext/>
    </w:pPr>
    <w:rPr>
      <w:u w:val="single"/>
    </w:rPr>
  </w:style>
  <w:style w:type="paragraph" w:styleId="BoldHeading" w:customStyle="1">
    <w:name w:val="Bold Heading"/>
    <w:basedOn w:val="UnderlineHeading"/>
    <w:link w:val="BoldHeadingChar"/>
    <w:uiPriority w:val="1"/>
    <w:qFormat/>
    <w:rsid w:val="000A0CE8"/>
    <w:rPr>
      <w:b/>
      <w:u w:val="none"/>
    </w:rPr>
  </w:style>
  <w:style w:type="character" w:styleId="UnderlineHeadingChar" w:customStyle="1">
    <w:name w:val="Underline Heading Char"/>
    <w:basedOn w:val="BodyText125Char"/>
    <w:link w:val="UnderlineHeading"/>
    <w:uiPriority w:val="1"/>
    <w:rsid w:val="00C85DFA"/>
    <w:rPr>
      <w:rFonts w:eastAsia="Times New Roman"/>
      <w:u w:val="single"/>
      <w:lang w:val="en-CA"/>
    </w:rPr>
  </w:style>
  <w:style w:type="character" w:styleId="BoldHeadingChar" w:customStyle="1">
    <w:name w:val="Bold Heading Char"/>
    <w:basedOn w:val="UnderlineHeadingChar"/>
    <w:link w:val="BoldHeading"/>
    <w:uiPriority w:val="1"/>
    <w:rsid w:val="00C85DFA"/>
    <w:rPr>
      <w:rFonts w:eastAsia="Times New Roman"/>
      <w:b/>
      <w:u w:val="single"/>
      <w:lang w:val="en-CA"/>
    </w:rPr>
  </w:style>
  <w:style w:type="paragraph" w:styleId="ChapterDividersTitle" w:customStyle="1">
    <w:name w:val="Chapter Dividers Title"/>
    <w:basedOn w:val="ChapterDividers"/>
    <w:link w:val="ChapterDividersTitleChar"/>
    <w:uiPriority w:val="2"/>
    <w:qFormat/>
    <w:rsid w:val="00B4409A"/>
    <w:pPr>
      <w:spacing w:before="0"/>
    </w:pPr>
    <w:rPr>
      <w:sz w:val="68"/>
      <w:szCs w:val="68"/>
    </w:rPr>
  </w:style>
  <w:style w:type="character" w:styleId="ChapterDividersTitleChar" w:customStyle="1">
    <w:name w:val="Chapter Dividers Title Char"/>
    <w:basedOn w:val="ChapterDividersChar"/>
    <w:link w:val="ChapterDividersTitle"/>
    <w:uiPriority w:val="2"/>
    <w:rsid w:val="00C85DFA"/>
    <w:rPr>
      <w:noProof/>
      <w:color w:val="6E6E6E"/>
      <w:sz w:val="68"/>
      <w:szCs w:val="68"/>
      <w:lang w:val="en-CA"/>
    </w:rPr>
  </w:style>
  <w:style w:type="paragraph" w:styleId="APPDividerTitle" w:customStyle="1">
    <w:name w:val="APP Divider Title"/>
    <w:basedOn w:val="APPdivider"/>
    <w:link w:val="APPDividerTitleChar"/>
    <w:uiPriority w:val="3"/>
    <w:qFormat/>
    <w:rsid w:val="0096612E"/>
    <w:pPr>
      <w:tabs>
        <w:tab w:val="left" w:pos="5400"/>
      </w:tabs>
      <w:spacing w:before="0" w:after="240"/>
      <w:ind w:left="1138" w:right="1483"/>
    </w:pPr>
    <w:rPr>
      <w:sz w:val="68"/>
    </w:rPr>
  </w:style>
  <w:style w:type="character" w:styleId="APPDividerTitleChar" w:customStyle="1">
    <w:name w:val="APP Divider Title Char"/>
    <w:basedOn w:val="APPdividerChar"/>
    <w:link w:val="APPDividerTitle"/>
    <w:uiPriority w:val="3"/>
    <w:rsid w:val="0096612E"/>
    <w:rPr>
      <w:sz w:val="68"/>
      <w:szCs w:val="96"/>
    </w:rPr>
  </w:style>
  <w:style w:type="table" w:styleId="PlainTable1">
    <w:name w:val="Plain Table 1"/>
    <w:basedOn w:val="TableNormal"/>
    <w:uiPriority w:val="99"/>
    <w:rsid w:val="005A265D"/>
    <w:tblPr/>
    <w:tblStylePr w:type="firstRow">
      <w:pPr>
        <w:wordWrap/>
        <w:jc w:val="center"/>
      </w:pPr>
      <w:rPr>
        <w:b/>
        <w:bCs/>
      </w:rPr>
    </w:tblStylePr>
    <w:tblStylePr w:type="lastRow">
      <w:rPr>
        <w:b w:val="0"/>
        <w:bCs/>
      </w:rPr>
    </w:tblStylePr>
    <w:tblStylePr w:type="firstCol">
      <w:rPr>
        <w:b w:val="0"/>
        <w:bCs/>
      </w:rPr>
    </w:tblStylePr>
    <w:tblStylePr w:type="lastCol">
      <w:rPr>
        <w:b w:val="0"/>
        <w:bCs/>
      </w:rPr>
    </w:tblStylePr>
  </w:style>
  <w:style w:type="character" w:styleId="CommentReference">
    <w:name w:val="annotation reference"/>
    <w:basedOn w:val="DefaultParagraphFont"/>
    <w:uiPriority w:val="99"/>
    <w:semiHidden/>
    <w:unhideWhenUsed/>
    <w:rsid w:val="009A57E8"/>
    <w:rPr>
      <w:sz w:val="16"/>
      <w:szCs w:val="16"/>
    </w:rPr>
  </w:style>
  <w:style w:type="paragraph" w:styleId="CommentText">
    <w:name w:val="annotation text"/>
    <w:basedOn w:val="Normal"/>
    <w:link w:val="CommentTextChar"/>
    <w:uiPriority w:val="99"/>
    <w:unhideWhenUsed/>
    <w:rsid w:val="009A57E8"/>
    <w:rPr>
      <w:sz w:val="20"/>
      <w:szCs w:val="20"/>
    </w:rPr>
  </w:style>
  <w:style w:type="character" w:styleId="CommentTextChar" w:customStyle="1">
    <w:name w:val="Comment Text Char"/>
    <w:basedOn w:val="DefaultParagraphFont"/>
    <w:link w:val="CommentText"/>
    <w:uiPriority w:val="99"/>
    <w:rsid w:val="009A57E8"/>
    <w:rPr>
      <w:sz w:val="20"/>
      <w:szCs w:val="20"/>
    </w:rPr>
  </w:style>
  <w:style w:type="paragraph" w:styleId="CommentSubject">
    <w:name w:val="annotation subject"/>
    <w:basedOn w:val="CommentText"/>
    <w:next w:val="CommentText"/>
    <w:link w:val="CommentSubjectChar"/>
    <w:uiPriority w:val="99"/>
    <w:semiHidden/>
    <w:unhideWhenUsed/>
    <w:rsid w:val="009A57E8"/>
    <w:rPr>
      <w:b/>
      <w:bCs/>
    </w:rPr>
  </w:style>
  <w:style w:type="character" w:styleId="CommentSubjectChar" w:customStyle="1">
    <w:name w:val="Comment Subject Char"/>
    <w:basedOn w:val="CommentTextChar"/>
    <w:link w:val="CommentSubject"/>
    <w:uiPriority w:val="99"/>
    <w:semiHidden/>
    <w:rsid w:val="009A57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425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7.xml" Id="rId26" /><Relationship Type="http://schemas.openxmlformats.org/officeDocument/2006/relationships/header" Target="header6.xml" Id="rId21" /><Relationship Type="http://schemas.openxmlformats.org/officeDocument/2006/relationships/header" Target="header12.xml" Id="rId42" /><Relationship Type="http://schemas.openxmlformats.org/officeDocument/2006/relationships/image" Target="media/image9.emf" Id="rId47" /><Relationship Type="http://schemas.openxmlformats.org/officeDocument/2006/relationships/header" Target="header14.xml" Id="rId63" /><Relationship Type="http://schemas.openxmlformats.org/officeDocument/2006/relationships/footer" Target="footer31.xml" Id="rId68" /><Relationship Type="http://schemas.openxmlformats.org/officeDocument/2006/relationships/image" Target="media/image27.emf" Id="rId84" /><Relationship Type="http://schemas.openxmlformats.org/officeDocument/2006/relationships/footer" Target="footer37.xml" Id="rId89" /><Relationship Type="http://schemas.openxmlformats.org/officeDocument/2006/relationships/footer" Target="footer2.xml" Id="rId16" /><Relationship Type="http://schemas.openxmlformats.org/officeDocument/2006/relationships/footer" Target="footer41.xml" Id="rId107" /><Relationship Type="http://schemas.openxmlformats.org/officeDocument/2006/relationships/header" Target="header1.xml" Id="rId11" /><Relationship Type="http://schemas.openxmlformats.org/officeDocument/2006/relationships/footer" Target="footer11.xml" Id="rId32" /><Relationship Type="http://schemas.openxmlformats.org/officeDocument/2006/relationships/header" Target="header11.xml" Id="rId37" /><Relationship Type="http://schemas.openxmlformats.org/officeDocument/2006/relationships/image" Target="media/image15.emf" Id="rId53" /><Relationship Type="http://schemas.openxmlformats.org/officeDocument/2006/relationships/footer" Target="footer24.xml" Id="rId58" /><Relationship Type="http://schemas.openxmlformats.org/officeDocument/2006/relationships/image" Target="media/image17.emf" Id="rId74" /><Relationship Type="http://schemas.openxmlformats.org/officeDocument/2006/relationships/image" Target="media/image22.emf" Id="rId79" /><Relationship Type="http://schemas.openxmlformats.org/officeDocument/2006/relationships/image" Target="media/image39.emf" Id="rId102" /><Relationship Type="http://schemas.openxmlformats.org/officeDocument/2006/relationships/numbering" Target="numbering.xml" Id="rId5" /><Relationship Type="http://schemas.openxmlformats.org/officeDocument/2006/relationships/header" Target="header19.xml" Id="rId90" /><Relationship Type="http://schemas.openxmlformats.org/officeDocument/2006/relationships/image" Target="media/image32.emf" Id="rId95" /><Relationship Type="http://schemas.openxmlformats.org/officeDocument/2006/relationships/footer" Target="footer5.xml" Id="rId22" /><Relationship Type="http://schemas.openxmlformats.org/officeDocument/2006/relationships/header" Target="header9.xml" Id="rId27" /><Relationship Type="http://schemas.openxmlformats.org/officeDocument/2006/relationships/footer" Target="footer19.xml" Id="rId43" /><Relationship Type="http://schemas.openxmlformats.org/officeDocument/2006/relationships/image" Target="media/image10.emf" Id="rId48" /><Relationship Type="http://schemas.openxmlformats.org/officeDocument/2006/relationships/footer" Target="footer29.xml" Id="rId64" /><Relationship Type="http://schemas.openxmlformats.org/officeDocument/2006/relationships/header" Target="header17.xml" Id="rId69" /><Relationship Type="http://schemas.openxmlformats.org/officeDocument/2006/relationships/image" Target="media/image23.emf" Id="rId80" /><Relationship Type="http://schemas.openxmlformats.org/officeDocument/2006/relationships/image" Target="media/image28.emf" Id="rId85" /><Relationship Type="http://schemas.openxmlformats.org/officeDocument/2006/relationships/footer" Target="footer1.xml" Id="rId12" /><Relationship Type="http://schemas.openxmlformats.org/officeDocument/2006/relationships/header" Target="header4.xml" Id="rId17" /><Relationship Type="http://schemas.openxmlformats.org/officeDocument/2006/relationships/image" Target="media/image6.emf" Id="rId33" /><Relationship Type="http://schemas.openxmlformats.org/officeDocument/2006/relationships/footer" Target="footer15.xml" Id="rId38" /><Relationship Type="http://schemas.openxmlformats.org/officeDocument/2006/relationships/footer" Target="footer25.xml" Id="rId59" /><Relationship Type="http://schemas.openxmlformats.org/officeDocument/2006/relationships/image" Target="media/image40.emf" Id="rId103" /><Relationship Type="http://schemas.openxmlformats.org/officeDocument/2006/relationships/footer" Target="footer42.xml" Id="rId108" /><Relationship Type="http://schemas.openxmlformats.org/officeDocument/2006/relationships/footer" Target="footer21.xml" Id="rId54" /><Relationship Type="http://schemas.openxmlformats.org/officeDocument/2006/relationships/footer" Target="footer32.xml" Id="rId70" /><Relationship Type="http://schemas.openxmlformats.org/officeDocument/2006/relationships/image" Target="media/image18.emf" Id="rId75" /><Relationship Type="http://schemas.openxmlformats.org/officeDocument/2006/relationships/footer" Target="footer38.xml" Id="rId91" /><Relationship Type="http://schemas.openxmlformats.org/officeDocument/2006/relationships/image" Target="media/image33.emf"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eader" Target="header7.xml" Id="rId23" /><Relationship Type="http://schemas.openxmlformats.org/officeDocument/2006/relationships/footer" Target="footer8.xml" Id="rId28" /><Relationship Type="http://schemas.openxmlformats.org/officeDocument/2006/relationships/footer" Target="footer14.xml" Id="rId36" /><Relationship Type="http://schemas.openxmlformats.org/officeDocument/2006/relationships/image" Target="media/image11.emf" Id="rId49" /><Relationship Type="http://schemas.openxmlformats.org/officeDocument/2006/relationships/footer" Target="footer23.xml" Id="rId57" /><Relationship Type="http://schemas.openxmlformats.org/officeDocument/2006/relationships/image" Target="media/image41.emf" Id="rId106" /><Relationship Type="http://schemas.openxmlformats.org/officeDocument/2006/relationships/endnotes" Target="endnotes.xml" Id="rId10" /><Relationship Type="http://schemas.openxmlformats.org/officeDocument/2006/relationships/footer" Target="footer10.xml" Id="rId31" /><Relationship Type="http://schemas.openxmlformats.org/officeDocument/2006/relationships/footer" Target="footer20.xml" Id="rId44" /><Relationship Type="http://schemas.openxmlformats.org/officeDocument/2006/relationships/image" Target="media/image14.emf" Id="rId52" /><Relationship Type="http://schemas.openxmlformats.org/officeDocument/2006/relationships/footer" Target="footer26.xml" Id="rId60" /><Relationship Type="http://schemas.openxmlformats.org/officeDocument/2006/relationships/header" Target="header15.xml" Id="rId65" /><Relationship Type="http://schemas.openxmlformats.org/officeDocument/2006/relationships/image" Target="media/image16.emf" Id="rId73" /><Relationship Type="http://schemas.openxmlformats.org/officeDocument/2006/relationships/image" Target="media/image21.emf" Id="rId78" /><Relationship Type="http://schemas.openxmlformats.org/officeDocument/2006/relationships/image" Target="media/image24.emf" Id="rId81" /><Relationship Type="http://schemas.openxmlformats.org/officeDocument/2006/relationships/footer" Target="footer35.xml" Id="rId86" /><Relationship Type="http://schemas.openxmlformats.org/officeDocument/2006/relationships/image" Target="media/image31.emf" Id="rId94" /><Relationship Type="http://schemas.openxmlformats.org/officeDocument/2006/relationships/image" Target="media/image36.emf" Id="rId99" /><Relationship Type="http://schemas.openxmlformats.org/officeDocument/2006/relationships/image" Target="media/image38.emf"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3" /><Relationship Type="http://schemas.openxmlformats.org/officeDocument/2006/relationships/footer" Target="footer3.xml" Id="rId18" /><Relationship Type="http://schemas.openxmlformats.org/officeDocument/2006/relationships/footer" Target="footer16.xml" Id="rId39" /><Relationship Type="http://schemas.openxmlformats.org/officeDocument/2006/relationships/fontTable" Target="fontTable.xml" Id="rId109" /><Relationship Type="http://schemas.openxmlformats.org/officeDocument/2006/relationships/footer" Target="footer12.xml" Id="rId34" /><Relationship Type="http://schemas.openxmlformats.org/officeDocument/2006/relationships/image" Target="media/image12.emf" Id="rId50" /><Relationship Type="http://schemas.openxmlformats.org/officeDocument/2006/relationships/footer" Target="footer22.xml" Id="rId55" /><Relationship Type="http://schemas.openxmlformats.org/officeDocument/2006/relationships/image" Target="media/image19.emf" Id="rId76" /><Relationship Type="http://schemas.openxmlformats.org/officeDocument/2006/relationships/image" Target="media/image34.emf" Id="rId97" /><Relationship Type="http://schemas.openxmlformats.org/officeDocument/2006/relationships/footer" Target="footer39.xml" Id="rId104" /><Relationship Type="http://schemas.openxmlformats.org/officeDocument/2006/relationships/settings" Target="settings.xml" Id="rId7" /><Relationship Type="http://schemas.openxmlformats.org/officeDocument/2006/relationships/footer" Target="footer33.xml" Id="rId71" /><Relationship Type="http://schemas.openxmlformats.org/officeDocument/2006/relationships/image" Target="media/image29.emf"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footer" Target="footer6.xml" Id="rId24" /><Relationship Type="http://schemas.openxmlformats.org/officeDocument/2006/relationships/footer" Target="footer17.xml" Id="rId40" /><Relationship Type="http://schemas.openxmlformats.org/officeDocument/2006/relationships/image" Target="media/image7.emf" Id="rId45" /><Relationship Type="http://schemas.openxmlformats.org/officeDocument/2006/relationships/footer" Target="footer30.xml" Id="rId66" /><Relationship Type="http://schemas.openxmlformats.org/officeDocument/2006/relationships/footer" Target="footer36.xml" Id="rId87" /><Relationship Type="http://schemas.openxmlformats.org/officeDocument/2006/relationships/theme" Target="theme/theme1.xml" Id="rId110" /><Relationship Type="http://schemas.openxmlformats.org/officeDocument/2006/relationships/footer" Target="footer27.xml" Id="rId61" /><Relationship Type="http://schemas.openxmlformats.org/officeDocument/2006/relationships/image" Target="media/image25.emf" Id="rId82" /><Relationship Type="http://schemas.openxmlformats.org/officeDocument/2006/relationships/header" Target="header5.xml" Id="rId19" /><Relationship Type="http://schemas.openxmlformats.org/officeDocument/2006/relationships/image" Target="media/image3.png" Id="rId14" /><Relationship Type="http://schemas.openxmlformats.org/officeDocument/2006/relationships/footer" Target="footer9.xml" Id="rId30" /><Relationship Type="http://schemas.openxmlformats.org/officeDocument/2006/relationships/footer" Target="footer13.xml" Id="rId35" /><Relationship Type="http://schemas.openxmlformats.org/officeDocument/2006/relationships/header" Target="header13.xml" Id="rId56" /><Relationship Type="http://schemas.openxmlformats.org/officeDocument/2006/relationships/image" Target="media/image20.emf" Id="rId77" /><Relationship Type="http://schemas.openxmlformats.org/officeDocument/2006/relationships/image" Target="media/image37.emf" Id="rId100" /><Relationship Type="http://schemas.openxmlformats.org/officeDocument/2006/relationships/footer" Target="footer40.xml" Id="rId105" /><Relationship Type="http://schemas.openxmlformats.org/officeDocument/2006/relationships/webSettings" Target="webSettings.xml" Id="rId8" /><Relationship Type="http://schemas.openxmlformats.org/officeDocument/2006/relationships/image" Target="media/image13.emf" Id="rId51" /><Relationship Type="http://schemas.openxmlformats.org/officeDocument/2006/relationships/footer" Target="footer34.xml" Id="rId72" /><Relationship Type="http://schemas.openxmlformats.org/officeDocument/2006/relationships/image" Target="media/image30.emf" Id="rId93" /><Relationship Type="http://schemas.openxmlformats.org/officeDocument/2006/relationships/image" Target="media/image35.emf" Id="rId98" /><Relationship Type="http://schemas.openxmlformats.org/officeDocument/2006/relationships/customXml" Target="../customXml/item3.xml" Id="rId3" /><Relationship Type="http://schemas.openxmlformats.org/officeDocument/2006/relationships/header" Target="header8.xml" Id="rId25" /><Relationship Type="http://schemas.openxmlformats.org/officeDocument/2006/relationships/image" Target="media/image8.emf" Id="rId46" /><Relationship Type="http://schemas.openxmlformats.org/officeDocument/2006/relationships/header" Target="header16.xml" Id="rId67" /><Relationship Type="http://schemas.openxmlformats.org/officeDocument/2006/relationships/footer" Target="footer4.xml" Id="rId20" /><Relationship Type="http://schemas.openxmlformats.org/officeDocument/2006/relationships/footer" Target="footer18.xml" Id="rId41" /><Relationship Type="http://schemas.openxmlformats.org/officeDocument/2006/relationships/footer" Target="footer28.xml" Id="rId62" /><Relationship Type="http://schemas.openxmlformats.org/officeDocument/2006/relationships/image" Target="media/image26.emf" Id="rId83" /><Relationship Type="http://schemas.openxmlformats.org/officeDocument/2006/relationships/header" Target="header18.xml" Id="rId8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Watson ">
  <a:themeElements>
    <a:clrScheme name="Custom 7">
      <a:dk1>
        <a:srgbClr val="425364"/>
      </a:dk1>
      <a:lt1>
        <a:srgbClr val="FFFFFF"/>
      </a:lt1>
      <a:dk2>
        <a:srgbClr val="7A97AB"/>
      </a:dk2>
      <a:lt2>
        <a:srgbClr val="6E6E6E"/>
      </a:lt2>
      <a:accent1>
        <a:srgbClr val="EB6B34"/>
      </a:accent1>
      <a:accent2>
        <a:srgbClr val="35A0A4"/>
      </a:accent2>
      <a:accent3>
        <a:srgbClr val="FFFFFF"/>
      </a:accent3>
      <a:accent4>
        <a:srgbClr val="83A354"/>
      </a:accent4>
      <a:accent5>
        <a:srgbClr val="434F7F"/>
      </a:accent5>
      <a:accent6>
        <a:srgbClr val="2E826B"/>
      </a:accent6>
      <a:hlink>
        <a:srgbClr val="5C3F6E"/>
      </a:hlink>
      <a:folHlink>
        <a:srgbClr val="CD4834"/>
      </a:folHlink>
    </a:clrScheme>
    <a:fontScheme name="Watson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chemeClr val="tx1"/>
          </a:solidFill>
        </a:ln>
      </a:spPr>
      <a:bodyPr rtlCol="0" anchor="ctr"/>
      <a:lstStyle/>
      <a:style>
        <a:lnRef idx="2">
          <a:schemeClr val="dk1">
            <a:shade val="50000"/>
          </a:schemeClr>
        </a:lnRef>
        <a:fillRef idx="1">
          <a:schemeClr val="dk1"/>
        </a:fillRef>
        <a:effectRef idx="0">
          <a:schemeClr val="dk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B8099EF3C5F84F8BC8CB287796B384" ma:contentTypeVersion="3" ma:contentTypeDescription="Create a new document." ma:contentTypeScope="" ma:versionID="d0b3f87a88b8a6d9b3bc50f83ac404a3">
  <xsd:schema xmlns:xsd="http://www.w3.org/2001/XMLSchema" xmlns:xs="http://www.w3.org/2001/XMLSchema" xmlns:p="http://schemas.microsoft.com/office/2006/metadata/properties" xmlns:ns2="693d9d18-a0bd-45a1-abd4-3d63dd8205c4" targetNamespace="http://schemas.microsoft.com/office/2006/metadata/properties" ma:root="true" ma:fieldsID="ccee838f7c1139332f5e93d3b5158fe1" ns2:_="">
    <xsd:import namespace="693d9d18-a0bd-45a1-abd4-3d63dd8205c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d9d18-a0bd-45a1-abd4-3d63dd820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5B934-0194-41CB-9C7E-9491C7CCCCE6}">
  <ds:schemaRefs>
    <ds:schemaRef ds:uri="http://schemas.microsoft.com/sharepoint/v3/contenttype/forms"/>
  </ds:schemaRefs>
</ds:datastoreItem>
</file>

<file path=customXml/itemProps2.xml><?xml version="1.0" encoding="utf-8"?>
<ds:datastoreItem xmlns:ds="http://schemas.openxmlformats.org/officeDocument/2006/customXml" ds:itemID="{F83503F3-C0EB-4C78-B14B-4A090429CF09}"/>
</file>

<file path=customXml/itemProps3.xml><?xml version="1.0" encoding="utf-8"?>
<ds:datastoreItem xmlns:ds="http://schemas.openxmlformats.org/officeDocument/2006/customXml" ds:itemID="{EC36693A-D29E-4308-B965-C29111586F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26564E-6B8B-4AB7-A3B1-01AEF16A341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Watson &amp; Associates Economists Ltd.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Report</dc:title>
  <dc:subject/>
  <dc:creator>Navreet Bains</dc:creator>
  <keywords/>
  <dc:description/>
  <lastModifiedBy>Sara Lourenco</lastModifiedBy>
  <revision>21</revision>
  <lastPrinted>2025-11-11T02:58:00.0000000Z</lastPrinted>
  <dcterms:created xsi:type="dcterms:W3CDTF">2025-11-11T01:53:00.0000000Z</dcterms:created>
  <dcterms:modified xsi:type="dcterms:W3CDTF">2025-12-29T19:31:32.1530478Z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0x010100EAB8099EF3C5F84F8BC8CB287796B384</vt:lpwstr>
  </property>
  <property fmtid="{D5CDD505-2E9C-101B-9397-08002B2CF9AE}" pid="3" name="Order">
    <vt:r8>4600</vt:r8>
  </property>
  <property fmtid="{D5CDD505-2E9C-101B-9397-08002B2CF9AE}" pid="4" name="GrammarlyDocumentId">
    <vt:lpwstr>4293bfa7-4b33-4dd3-8017-09b7e7e27b10</vt:lpwstr>
  </property>
  <property fmtid="{D5CDD505-2E9C-101B-9397-08002B2CF9AE}" pid="5" name="MediaServiceImageTags">
    <vt:lpwstr/>
  </property>
</Properties>
</file>